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3B6" w:rsidRPr="003175DC" w:rsidRDefault="007813EC" w:rsidP="00D608F0">
      <w:pPr>
        <w:snapToGrid w:val="0"/>
        <w:spacing w:line="360" w:lineRule="exact"/>
        <w:jc w:val="right"/>
        <w:rPr>
          <w:rFonts w:ascii="標楷體" w:eastAsia="標楷體" w:hAnsi="標楷體"/>
          <w:color w:val="000000"/>
        </w:rPr>
      </w:pPr>
      <w:r>
        <w:rPr>
          <w:rFonts w:ascii="標楷體" w:eastAsia="標楷體" w:hAnsi="標楷體" w:hint="eastAsia"/>
          <w:color w:val="000000"/>
        </w:rPr>
        <w:t>國際管理碩士學位學程</w:t>
      </w:r>
      <w:r w:rsidR="002D23B6" w:rsidRPr="003175DC">
        <w:rPr>
          <w:rFonts w:ascii="標楷體" w:eastAsia="標楷體" w:hAnsi="標楷體" w:hint="eastAsia"/>
          <w:color w:val="000000"/>
        </w:rPr>
        <w:t xml:space="preserve">  碩士班   </w:t>
      </w:r>
      <w:r w:rsidR="00B9582B">
        <w:rPr>
          <w:rFonts w:ascii="標楷體" w:eastAsia="標楷體" w:hAnsi="標楷體" w:hint="eastAsia"/>
          <w:color w:val="000000"/>
        </w:rPr>
        <w:t>108</w:t>
      </w:r>
      <w:r w:rsidR="00775349">
        <w:rPr>
          <w:rFonts w:ascii="標楷體" w:eastAsia="標楷體" w:hAnsi="標楷體" w:hint="eastAsia"/>
          <w:color w:val="000000"/>
        </w:rPr>
        <w:t xml:space="preserve"> </w:t>
      </w:r>
      <w:bookmarkStart w:id="0" w:name="_GoBack"/>
      <w:bookmarkEnd w:id="0"/>
      <w:r w:rsidR="002D23B6" w:rsidRPr="003175DC">
        <w:rPr>
          <w:rFonts w:ascii="標楷體" w:eastAsia="標楷體" w:hAnsi="標楷體" w:hint="eastAsia"/>
          <w:color w:val="000000"/>
        </w:rPr>
        <w:t>學年度入學課程結構規劃表</w:t>
      </w:r>
      <w:r w:rsidR="00D608F0">
        <w:rPr>
          <w:rFonts w:ascii="標楷體" w:eastAsia="標楷體" w:hAnsi="標楷體" w:hint="eastAsia"/>
          <w:color w:val="000000"/>
        </w:rPr>
        <w:t xml:space="preserve">                            (製表：</w:t>
      </w:r>
      <w:r w:rsidR="00B14281">
        <w:rPr>
          <w:rFonts w:ascii="標楷體" w:eastAsia="標楷體" w:hAnsi="標楷體" w:hint="eastAsia"/>
          <w:color w:val="000000"/>
        </w:rPr>
        <w:t>107.10</w:t>
      </w:r>
      <w:r w:rsidR="00D608F0">
        <w:rPr>
          <w:rFonts w:ascii="標楷體" w:eastAsia="標楷體" w:hAnsi="標楷體" w:hint="eastAsia"/>
          <w:color w:val="000000"/>
        </w:rPr>
        <w:t>.30)</w:t>
      </w:r>
    </w:p>
    <w:tbl>
      <w:tblPr>
        <w:tblW w:w="5000" w:type="pct"/>
        <w:jc w:val="center"/>
        <w:tblCellMar>
          <w:left w:w="28" w:type="dxa"/>
          <w:right w:w="28" w:type="dxa"/>
        </w:tblCellMar>
        <w:tblLook w:val="04A0" w:firstRow="1" w:lastRow="0" w:firstColumn="1" w:lastColumn="0" w:noHBand="0" w:noVBand="1"/>
      </w:tblPr>
      <w:tblGrid>
        <w:gridCol w:w="1962"/>
        <w:gridCol w:w="1213"/>
        <w:gridCol w:w="1888"/>
        <w:gridCol w:w="3010"/>
        <w:gridCol w:w="2333"/>
        <w:gridCol w:w="3077"/>
        <w:gridCol w:w="2211"/>
      </w:tblGrid>
      <w:tr w:rsidR="00117267" w:rsidRPr="003175DC" w:rsidTr="00245D68">
        <w:trPr>
          <w:trHeight w:val="340"/>
          <w:jc w:val="center"/>
        </w:trPr>
        <w:tc>
          <w:tcPr>
            <w:tcW w:w="170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課程類別</w:t>
            </w:r>
          </w:p>
        </w:tc>
        <w:tc>
          <w:tcPr>
            <w:tcW w:w="1549" w:type="pct"/>
            <w:gridSpan w:val="2"/>
            <w:tcBorders>
              <w:top w:val="single" w:sz="4" w:space="0" w:color="auto"/>
              <w:left w:val="nil"/>
              <w:bottom w:val="single" w:sz="4" w:space="0" w:color="auto"/>
              <w:right w:val="single" w:sz="4" w:space="0" w:color="auto"/>
            </w:tcBorders>
            <w:shd w:val="clear" w:color="auto" w:fill="auto"/>
            <w:noWrap/>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一年級</w:t>
            </w:r>
          </w:p>
        </w:tc>
        <w:tc>
          <w:tcPr>
            <w:tcW w:w="1746" w:type="pct"/>
            <w:gridSpan w:val="2"/>
            <w:tcBorders>
              <w:top w:val="single" w:sz="4" w:space="0" w:color="auto"/>
              <w:left w:val="nil"/>
              <w:bottom w:val="single" w:sz="4" w:space="0" w:color="auto"/>
              <w:right w:val="single" w:sz="4" w:space="0" w:color="auto"/>
            </w:tcBorders>
            <w:shd w:val="clear" w:color="auto" w:fill="auto"/>
            <w:noWrap/>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二年級</w:t>
            </w:r>
          </w:p>
        </w:tc>
      </w:tr>
      <w:tr w:rsidR="00117267" w:rsidRPr="003175DC" w:rsidTr="00333F04">
        <w:trPr>
          <w:trHeight w:val="340"/>
          <w:jc w:val="center"/>
        </w:trPr>
        <w:tc>
          <w:tcPr>
            <w:tcW w:w="1705" w:type="pct"/>
            <w:gridSpan w:val="3"/>
            <w:vMerge/>
            <w:tcBorders>
              <w:top w:val="single" w:sz="4" w:space="0" w:color="auto"/>
              <w:left w:val="single" w:sz="4" w:space="0" w:color="auto"/>
              <w:bottom w:val="single" w:sz="4" w:space="0" w:color="auto"/>
              <w:right w:val="single" w:sz="4" w:space="0" w:color="auto"/>
            </w:tcBorders>
            <w:vAlign w:val="center"/>
          </w:tcPr>
          <w:p w:rsidR="00117267" w:rsidRPr="003175DC" w:rsidRDefault="00117267" w:rsidP="00246B23">
            <w:pPr>
              <w:widowControl/>
              <w:snapToGrid w:val="0"/>
              <w:spacing w:line="360" w:lineRule="exact"/>
              <w:rPr>
                <w:rFonts w:ascii="標楷體" w:eastAsia="標楷體" w:hAnsi="標楷體" w:cs="新細明體"/>
                <w:color w:val="000000"/>
                <w:kern w:val="0"/>
              </w:rPr>
            </w:pPr>
          </w:p>
        </w:tc>
        <w:tc>
          <w:tcPr>
            <w:tcW w:w="775" w:type="pct"/>
            <w:tcBorders>
              <w:top w:val="nil"/>
              <w:left w:val="nil"/>
              <w:bottom w:val="single" w:sz="4" w:space="0" w:color="auto"/>
              <w:right w:val="single" w:sz="4" w:space="0" w:color="auto"/>
            </w:tcBorders>
            <w:shd w:val="clear" w:color="auto" w:fill="auto"/>
            <w:noWrap/>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第一學期</w:t>
            </w:r>
            <w:r w:rsidR="002A47F8">
              <w:rPr>
                <w:rFonts w:ascii="標楷體" w:eastAsia="標楷體" w:hAnsi="標楷體" w:cs="新細明體" w:hint="eastAsia"/>
                <w:kern w:val="0"/>
              </w:rPr>
              <w:t>(</w:t>
            </w:r>
            <w:r w:rsidR="002A47F8">
              <w:t>Fall</w:t>
            </w:r>
            <w:r w:rsidR="002A47F8">
              <w:rPr>
                <w:rFonts w:hint="eastAsia"/>
              </w:rPr>
              <w:t>)</w:t>
            </w:r>
          </w:p>
        </w:tc>
        <w:tc>
          <w:tcPr>
            <w:tcW w:w="774" w:type="pct"/>
            <w:tcBorders>
              <w:top w:val="nil"/>
              <w:left w:val="nil"/>
              <w:bottom w:val="single" w:sz="4" w:space="0" w:color="auto"/>
              <w:right w:val="single" w:sz="4" w:space="0" w:color="auto"/>
            </w:tcBorders>
            <w:shd w:val="clear" w:color="auto" w:fill="auto"/>
            <w:noWrap/>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第二學期</w:t>
            </w:r>
            <w:r w:rsidR="002A47F8">
              <w:rPr>
                <w:rFonts w:ascii="標楷體" w:eastAsia="標楷體" w:hAnsi="標楷體" w:cs="新細明體" w:hint="eastAsia"/>
                <w:kern w:val="0"/>
              </w:rPr>
              <w:t>(</w:t>
            </w:r>
            <w:r w:rsidR="002A47F8">
              <w:t>Spring</w:t>
            </w:r>
            <w:r w:rsidR="002A47F8">
              <w:rPr>
                <w:rFonts w:hint="eastAsia"/>
              </w:rPr>
              <w:t>)</w:t>
            </w:r>
          </w:p>
        </w:tc>
        <w:tc>
          <w:tcPr>
            <w:tcW w:w="1011" w:type="pct"/>
            <w:tcBorders>
              <w:top w:val="nil"/>
              <w:left w:val="nil"/>
              <w:bottom w:val="single" w:sz="4" w:space="0" w:color="auto"/>
              <w:right w:val="single" w:sz="4" w:space="0" w:color="auto"/>
            </w:tcBorders>
            <w:shd w:val="clear" w:color="auto" w:fill="auto"/>
            <w:noWrap/>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第一學期</w:t>
            </w:r>
            <w:r w:rsidR="002A47F8">
              <w:rPr>
                <w:rFonts w:ascii="標楷體" w:eastAsia="標楷體" w:hAnsi="標楷體" w:cs="新細明體" w:hint="eastAsia"/>
                <w:kern w:val="0"/>
              </w:rPr>
              <w:t>(</w:t>
            </w:r>
            <w:r w:rsidR="002A47F8">
              <w:t>Fall</w:t>
            </w:r>
            <w:r w:rsidR="002A47F8">
              <w:rPr>
                <w:rFonts w:hint="eastAsia"/>
              </w:rPr>
              <w:t>)</w:t>
            </w:r>
          </w:p>
        </w:tc>
        <w:tc>
          <w:tcPr>
            <w:tcW w:w="735" w:type="pct"/>
            <w:tcBorders>
              <w:top w:val="nil"/>
              <w:left w:val="nil"/>
              <w:bottom w:val="single" w:sz="4" w:space="0" w:color="auto"/>
              <w:right w:val="single" w:sz="4" w:space="0" w:color="auto"/>
            </w:tcBorders>
            <w:shd w:val="clear" w:color="auto" w:fill="auto"/>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第二學期</w:t>
            </w:r>
            <w:r w:rsidR="002A47F8">
              <w:rPr>
                <w:rFonts w:ascii="標楷體" w:eastAsia="標楷體" w:hAnsi="標楷體" w:cs="新細明體" w:hint="eastAsia"/>
                <w:kern w:val="0"/>
              </w:rPr>
              <w:t>(</w:t>
            </w:r>
            <w:r w:rsidR="002A47F8">
              <w:t>Spring</w:t>
            </w:r>
            <w:r w:rsidR="002A47F8">
              <w:rPr>
                <w:rFonts w:hint="eastAsia"/>
              </w:rPr>
              <w:t>)</w:t>
            </w:r>
          </w:p>
        </w:tc>
      </w:tr>
      <w:tr w:rsidR="00117267" w:rsidRPr="003175DC" w:rsidTr="00333F04">
        <w:trPr>
          <w:trHeight w:val="720"/>
          <w:jc w:val="center"/>
        </w:trPr>
        <w:tc>
          <w:tcPr>
            <w:tcW w:w="656" w:type="pct"/>
            <w:vMerge w:val="restart"/>
            <w:tcBorders>
              <w:top w:val="nil"/>
              <w:left w:val="single" w:sz="4" w:space="0" w:color="auto"/>
              <w:right w:val="single" w:sz="4" w:space="0" w:color="auto"/>
            </w:tcBorders>
            <w:shd w:val="clear" w:color="auto" w:fill="auto"/>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專業</w:t>
            </w:r>
            <w:r>
              <w:rPr>
                <w:rFonts w:ascii="標楷體" w:eastAsia="標楷體" w:hAnsi="標楷體" w:cs="新細明體" w:hint="eastAsia"/>
                <w:color w:val="000000"/>
                <w:kern w:val="0"/>
              </w:rPr>
              <w:t>必修</w:t>
            </w:r>
            <w:r w:rsidRPr="003175DC">
              <w:rPr>
                <w:rFonts w:ascii="標楷體" w:eastAsia="標楷體" w:hAnsi="標楷體" w:cs="新細明體" w:hint="eastAsia"/>
                <w:color w:val="000000"/>
                <w:kern w:val="0"/>
              </w:rPr>
              <w:t>課程</w:t>
            </w:r>
            <w:r w:rsidR="00B43D05" w:rsidRPr="00B43D05">
              <w:rPr>
                <w:rFonts w:ascii="標楷體" w:eastAsia="標楷體" w:hAnsi="標楷體" w:cs="新細明體" w:hint="eastAsia"/>
                <w:kern w:val="0"/>
              </w:rPr>
              <w:t>(</w:t>
            </w:r>
            <w:r w:rsidR="00B43D05" w:rsidRPr="00B43D05">
              <w:t>Compulsory Courses</w:t>
            </w:r>
            <w:r w:rsidR="00B43D05" w:rsidRPr="00B43D05">
              <w:rPr>
                <w:rFonts w:hint="eastAsia"/>
              </w:rPr>
              <w:t>)</w:t>
            </w:r>
          </w:p>
        </w:tc>
        <w:tc>
          <w:tcPr>
            <w:tcW w:w="417" w:type="pct"/>
            <w:vMerge w:val="restart"/>
            <w:tcBorders>
              <w:top w:val="nil"/>
              <w:left w:val="nil"/>
              <w:right w:val="single" w:sz="4" w:space="0" w:color="auto"/>
            </w:tcBorders>
            <w:shd w:val="clear" w:color="auto" w:fill="auto"/>
            <w:vAlign w:val="center"/>
          </w:tcPr>
          <w:p w:rsidR="00117267" w:rsidRDefault="00117267" w:rsidP="0081027D">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必修</w:t>
            </w:r>
          </w:p>
          <w:p w:rsidR="002A47F8" w:rsidRPr="002A47F8" w:rsidRDefault="002A47F8" w:rsidP="0081027D">
            <w:pPr>
              <w:widowControl/>
              <w:snapToGrid w:val="0"/>
              <w:spacing w:line="360" w:lineRule="exact"/>
              <w:jc w:val="center"/>
              <w:rPr>
                <w:rFonts w:ascii="標楷體" w:eastAsia="標楷體" w:hAnsi="標楷體" w:cs="新細明體"/>
                <w:color w:val="000000"/>
                <w:kern w:val="0"/>
                <w:sz w:val="20"/>
                <w:szCs w:val="20"/>
              </w:rPr>
            </w:pPr>
          </w:p>
        </w:tc>
        <w:tc>
          <w:tcPr>
            <w:tcW w:w="632" w:type="pct"/>
            <w:vMerge w:val="restart"/>
            <w:tcBorders>
              <w:top w:val="nil"/>
              <w:left w:val="nil"/>
              <w:right w:val="single" w:sz="4" w:space="0" w:color="auto"/>
            </w:tcBorders>
            <w:shd w:val="clear" w:color="auto" w:fill="auto"/>
            <w:vAlign w:val="center"/>
          </w:tcPr>
          <w:p w:rsidR="00117267" w:rsidRPr="003175DC" w:rsidRDefault="00117267" w:rsidP="0081027D">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應修</w:t>
            </w:r>
            <w:r w:rsidR="00333F04">
              <w:rPr>
                <w:rFonts w:ascii="標楷體" w:eastAsia="標楷體" w:hAnsi="標楷體" w:cs="新細明體" w:hint="eastAsia"/>
                <w:color w:val="000000"/>
                <w:kern w:val="0"/>
              </w:rPr>
              <w:t>12</w:t>
            </w:r>
            <w:r w:rsidRPr="003175DC">
              <w:rPr>
                <w:rFonts w:ascii="標楷體" w:eastAsia="標楷體" w:hAnsi="標楷體" w:cs="新細明體" w:hint="eastAsia"/>
                <w:color w:val="000000"/>
                <w:kern w:val="0"/>
              </w:rPr>
              <w:t>學分數</w:t>
            </w:r>
          </w:p>
        </w:tc>
        <w:tc>
          <w:tcPr>
            <w:tcW w:w="775" w:type="pct"/>
            <w:vMerge w:val="restart"/>
            <w:tcBorders>
              <w:top w:val="single" w:sz="4" w:space="0" w:color="auto"/>
              <w:left w:val="nil"/>
              <w:right w:val="single" w:sz="4" w:space="0" w:color="000000"/>
            </w:tcBorders>
            <w:shd w:val="clear" w:color="auto" w:fill="auto"/>
            <w:vAlign w:val="center"/>
          </w:tcPr>
          <w:p w:rsidR="00245D68" w:rsidRDefault="00117267"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研究方法</w:t>
            </w:r>
          </w:p>
          <w:p w:rsidR="002A47F8" w:rsidRPr="00A92774" w:rsidRDefault="002A47F8" w:rsidP="008720F7">
            <w:pPr>
              <w:widowControl/>
              <w:snapToGrid w:val="0"/>
              <w:jc w:val="center"/>
              <w:rPr>
                <w:rFonts w:ascii="標楷體" w:eastAsia="標楷體" w:hAnsi="標楷體" w:cs="新細明體"/>
                <w:color w:val="000000"/>
                <w:kern w:val="0"/>
                <w:sz w:val="22"/>
                <w:szCs w:val="22"/>
              </w:rPr>
            </w:pPr>
            <w:r w:rsidRPr="00FF1D7E">
              <w:rPr>
                <w:rFonts w:ascii="標楷體" w:eastAsia="標楷體" w:hAnsi="標楷體"/>
                <w:kern w:val="0"/>
                <w:sz w:val="22"/>
                <w:szCs w:val="22"/>
              </w:rPr>
              <w:t>Research Method</w:t>
            </w:r>
          </w:p>
          <w:p w:rsidR="00117267" w:rsidRPr="00A92774" w:rsidRDefault="00117267"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(1學分/1小時)</w:t>
            </w:r>
          </w:p>
        </w:tc>
        <w:tc>
          <w:tcPr>
            <w:tcW w:w="774" w:type="pct"/>
            <w:tcBorders>
              <w:top w:val="single" w:sz="4" w:space="0" w:color="auto"/>
              <w:left w:val="nil"/>
              <w:bottom w:val="single" w:sz="4" w:space="0" w:color="auto"/>
              <w:right w:val="single" w:sz="4" w:space="0" w:color="000000"/>
            </w:tcBorders>
            <w:shd w:val="clear" w:color="auto" w:fill="auto"/>
            <w:vAlign w:val="center"/>
          </w:tcPr>
          <w:p w:rsidR="00245D68" w:rsidRDefault="00117267"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國際企業管理專題</w:t>
            </w:r>
          </w:p>
          <w:p w:rsidR="002A47F8" w:rsidRPr="00A92774" w:rsidRDefault="002A47F8" w:rsidP="008720F7">
            <w:pPr>
              <w:widowControl/>
              <w:snapToGrid w:val="0"/>
              <w:jc w:val="center"/>
              <w:rPr>
                <w:rFonts w:ascii="標楷體" w:eastAsia="標楷體" w:hAnsi="標楷體" w:cs="新細明體"/>
                <w:color w:val="000000"/>
                <w:kern w:val="0"/>
                <w:sz w:val="22"/>
                <w:szCs w:val="22"/>
              </w:rPr>
            </w:pPr>
            <w:r w:rsidRPr="00FF1D7E">
              <w:rPr>
                <w:rFonts w:ascii="標楷體" w:eastAsia="標楷體" w:hAnsi="標楷體"/>
                <w:kern w:val="0"/>
                <w:sz w:val="22"/>
                <w:szCs w:val="22"/>
              </w:rPr>
              <w:t>Topics in Global Business Management</w:t>
            </w:r>
          </w:p>
          <w:p w:rsidR="00117267" w:rsidRPr="00A92774" w:rsidRDefault="00117267"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1011" w:type="pct"/>
            <w:vMerge w:val="restart"/>
            <w:tcBorders>
              <w:top w:val="single" w:sz="4" w:space="0" w:color="auto"/>
              <w:left w:val="nil"/>
              <w:right w:val="single" w:sz="4" w:space="0" w:color="000000"/>
            </w:tcBorders>
            <w:shd w:val="clear" w:color="auto" w:fill="auto"/>
            <w:vAlign w:val="center"/>
          </w:tcPr>
          <w:p w:rsidR="00117267" w:rsidRPr="00A92774" w:rsidRDefault="00245D68"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論文</w:t>
            </w:r>
            <w:r w:rsidR="002A47F8" w:rsidRPr="00FF1D7E">
              <w:rPr>
                <w:rFonts w:ascii="標楷體" w:eastAsia="標楷體" w:hAnsi="標楷體"/>
                <w:kern w:val="0"/>
                <w:sz w:val="22"/>
                <w:szCs w:val="22"/>
              </w:rPr>
              <w:t>Dissertation</w:t>
            </w:r>
            <w:r w:rsidR="002A47F8" w:rsidRPr="00A92774">
              <w:rPr>
                <w:rFonts w:ascii="標楷體" w:eastAsia="標楷體" w:hAnsi="標楷體" w:cs="新細明體" w:hint="eastAsia"/>
                <w:color w:val="000000"/>
                <w:kern w:val="0"/>
                <w:sz w:val="22"/>
                <w:szCs w:val="22"/>
              </w:rPr>
              <w:t xml:space="preserve"> </w:t>
            </w:r>
            <w:r w:rsidRPr="00A92774">
              <w:rPr>
                <w:rFonts w:ascii="標楷體" w:eastAsia="標楷體" w:hAnsi="標楷體" w:cs="新細明體" w:hint="eastAsia"/>
                <w:color w:val="000000"/>
                <w:kern w:val="0"/>
                <w:sz w:val="22"/>
                <w:szCs w:val="22"/>
              </w:rPr>
              <w:t>(6學分)</w:t>
            </w:r>
          </w:p>
        </w:tc>
        <w:tc>
          <w:tcPr>
            <w:tcW w:w="735" w:type="pct"/>
            <w:vMerge w:val="restart"/>
            <w:tcBorders>
              <w:top w:val="single" w:sz="4" w:space="0" w:color="auto"/>
              <w:left w:val="nil"/>
              <w:right w:val="single" w:sz="4" w:space="0" w:color="000000"/>
            </w:tcBorders>
            <w:shd w:val="clear" w:color="auto" w:fill="auto"/>
            <w:vAlign w:val="center"/>
          </w:tcPr>
          <w:p w:rsidR="00117267" w:rsidRPr="00A92774" w:rsidRDefault="00245D68"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論文</w:t>
            </w:r>
            <w:r w:rsidR="002A47F8" w:rsidRPr="00FF1D7E">
              <w:rPr>
                <w:rFonts w:ascii="標楷體" w:eastAsia="標楷體" w:hAnsi="標楷體"/>
                <w:kern w:val="0"/>
                <w:sz w:val="22"/>
                <w:szCs w:val="22"/>
              </w:rPr>
              <w:t>Dissertation</w:t>
            </w:r>
            <w:r w:rsidR="002A47F8" w:rsidRPr="00A92774">
              <w:rPr>
                <w:rFonts w:ascii="標楷體" w:eastAsia="標楷體" w:hAnsi="標楷體" w:cs="新細明體" w:hint="eastAsia"/>
                <w:color w:val="000000"/>
                <w:kern w:val="0"/>
                <w:sz w:val="22"/>
                <w:szCs w:val="22"/>
              </w:rPr>
              <w:t xml:space="preserve"> </w:t>
            </w:r>
            <w:r w:rsidRPr="00A92774">
              <w:rPr>
                <w:rFonts w:ascii="標楷體" w:eastAsia="標楷體" w:hAnsi="標楷體" w:cs="新細明體" w:hint="eastAsia"/>
                <w:color w:val="000000"/>
                <w:kern w:val="0"/>
                <w:sz w:val="22"/>
                <w:szCs w:val="22"/>
              </w:rPr>
              <w:t>(6學分)</w:t>
            </w:r>
          </w:p>
        </w:tc>
      </w:tr>
      <w:tr w:rsidR="00117267" w:rsidRPr="003175DC" w:rsidTr="00333F04">
        <w:trPr>
          <w:trHeight w:val="720"/>
          <w:jc w:val="center"/>
        </w:trPr>
        <w:tc>
          <w:tcPr>
            <w:tcW w:w="656" w:type="pct"/>
            <w:vMerge/>
            <w:tcBorders>
              <w:left w:val="single" w:sz="4" w:space="0" w:color="auto"/>
              <w:bottom w:val="single" w:sz="4" w:space="0" w:color="auto"/>
              <w:right w:val="single" w:sz="4" w:space="0" w:color="auto"/>
            </w:tcBorders>
            <w:shd w:val="clear" w:color="auto" w:fill="auto"/>
            <w:vAlign w:val="center"/>
          </w:tcPr>
          <w:p w:rsidR="00117267" w:rsidRPr="003175DC" w:rsidRDefault="00117267" w:rsidP="00246B23">
            <w:pPr>
              <w:widowControl/>
              <w:snapToGrid w:val="0"/>
              <w:spacing w:line="360" w:lineRule="exact"/>
              <w:jc w:val="center"/>
              <w:rPr>
                <w:rFonts w:ascii="標楷體" w:eastAsia="標楷體" w:hAnsi="標楷體" w:cs="新細明體"/>
                <w:color w:val="000000"/>
                <w:kern w:val="0"/>
              </w:rPr>
            </w:pPr>
          </w:p>
        </w:tc>
        <w:tc>
          <w:tcPr>
            <w:tcW w:w="417" w:type="pct"/>
            <w:vMerge/>
            <w:tcBorders>
              <w:left w:val="nil"/>
              <w:bottom w:val="single" w:sz="4" w:space="0" w:color="auto"/>
              <w:right w:val="single" w:sz="4" w:space="0" w:color="auto"/>
            </w:tcBorders>
            <w:shd w:val="clear" w:color="auto" w:fill="auto"/>
            <w:vAlign w:val="center"/>
          </w:tcPr>
          <w:p w:rsidR="00117267" w:rsidRPr="003175DC" w:rsidRDefault="00117267" w:rsidP="0081027D">
            <w:pPr>
              <w:widowControl/>
              <w:snapToGrid w:val="0"/>
              <w:spacing w:line="360" w:lineRule="exact"/>
              <w:jc w:val="center"/>
              <w:rPr>
                <w:rFonts w:ascii="標楷體" w:eastAsia="標楷體" w:hAnsi="標楷體" w:cs="新細明體"/>
                <w:color w:val="000000"/>
                <w:kern w:val="0"/>
              </w:rPr>
            </w:pPr>
          </w:p>
        </w:tc>
        <w:tc>
          <w:tcPr>
            <w:tcW w:w="632" w:type="pct"/>
            <w:vMerge/>
            <w:tcBorders>
              <w:left w:val="nil"/>
              <w:bottom w:val="single" w:sz="4" w:space="0" w:color="auto"/>
              <w:right w:val="single" w:sz="4" w:space="0" w:color="auto"/>
            </w:tcBorders>
            <w:shd w:val="clear" w:color="auto" w:fill="auto"/>
            <w:vAlign w:val="center"/>
          </w:tcPr>
          <w:p w:rsidR="00117267" w:rsidRPr="003175DC" w:rsidRDefault="00117267" w:rsidP="0081027D">
            <w:pPr>
              <w:widowControl/>
              <w:snapToGrid w:val="0"/>
              <w:spacing w:line="360" w:lineRule="exact"/>
              <w:jc w:val="center"/>
              <w:rPr>
                <w:rFonts w:ascii="標楷體" w:eastAsia="標楷體" w:hAnsi="標楷體" w:cs="新細明體"/>
                <w:color w:val="000000"/>
                <w:kern w:val="0"/>
              </w:rPr>
            </w:pPr>
          </w:p>
        </w:tc>
        <w:tc>
          <w:tcPr>
            <w:tcW w:w="775" w:type="pct"/>
            <w:vMerge/>
            <w:tcBorders>
              <w:left w:val="nil"/>
              <w:bottom w:val="single" w:sz="4" w:space="0" w:color="auto"/>
              <w:right w:val="single" w:sz="4" w:space="0" w:color="000000"/>
            </w:tcBorders>
            <w:shd w:val="clear" w:color="auto" w:fill="auto"/>
            <w:vAlign w:val="center"/>
          </w:tcPr>
          <w:p w:rsidR="00117267" w:rsidRPr="00A92774" w:rsidRDefault="00117267" w:rsidP="008720F7">
            <w:pPr>
              <w:widowControl/>
              <w:snapToGrid w:val="0"/>
              <w:jc w:val="center"/>
              <w:rPr>
                <w:rFonts w:ascii="標楷體" w:eastAsia="標楷體" w:hAnsi="標楷體" w:cs="新細明體"/>
                <w:color w:val="000000"/>
                <w:kern w:val="0"/>
                <w:sz w:val="22"/>
                <w:szCs w:val="22"/>
              </w:rPr>
            </w:pPr>
          </w:p>
        </w:tc>
        <w:tc>
          <w:tcPr>
            <w:tcW w:w="774" w:type="pct"/>
            <w:tcBorders>
              <w:top w:val="single" w:sz="4" w:space="0" w:color="auto"/>
              <w:left w:val="nil"/>
              <w:bottom w:val="single" w:sz="4" w:space="0" w:color="auto"/>
              <w:right w:val="single" w:sz="4" w:space="0" w:color="000000"/>
            </w:tcBorders>
            <w:shd w:val="clear" w:color="auto" w:fill="auto"/>
            <w:vAlign w:val="center"/>
          </w:tcPr>
          <w:p w:rsidR="002A47F8" w:rsidRDefault="00117267"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新興市場經營與管理</w:t>
            </w:r>
          </w:p>
          <w:p w:rsidR="002A47F8" w:rsidRDefault="002A47F8" w:rsidP="008720F7">
            <w:pPr>
              <w:widowControl/>
              <w:snapToGrid w:val="0"/>
              <w:jc w:val="center"/>
              <w:rPr>
                <w:rFonts w:ascii="標楷體" w:eastAsia="標楷體" w:hAnsi="標楷體" w:cs="新細明體"/>
                <w:color w:val="000000"/>
                <w:kern w:val="0"/>
                <w:sz w:val="22"/>
                <w:szCs w:val="22"/>
              </w:rPr>
            </w:pPr>
            <w:r w:rsidRPr="00FB0E30">
              <w:rPr>
                <w:rFonts w:hint="eastAsia"/>
              </w:rPr>
              <w:t>Managing in Emerging Markets</w:t>
            </w:r>
          </w:p>
          <w:p w:rsidR="00117267" w:rsidRPr="00A92774" w:rsidRDefault="00117267"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(2學分/2小時)</w:t>
            </w:r>
          </w:p>
        </w:tc>
        <w:tc>
          <w:tcPr>
            <w:tcW w:w="1011" w:type="pct"/>
            <w:vMerge/>
            <w:tcBorders>
              <w:left w:val="nil"/>
              <w:bottom w:val="single" w:sz="4" w:space="0" w:color="auto"/>
              <w:right w:val="single" w:sz="4" w:space="0" w:color="000000"/>
            </w:tcBorders>
            <w:shd w:val="clear" w:color="auto" w:fill="auto"/>
            <w:vAlign w:val="center"/>
          </w:tcPr>
          <w:p w:rsidR="00117267" w:rsidRPr="00A92774" w:rsidRDefault="00117267" w:rsidP="008720F7">
            <w:pPr>
              <w:widowControl/>
              <w:snapToGrid w:val="0"/>
              <w:jc w:val="center"/>
              <w:rPr>
                <w:rFonts w:ascii="標楷體" w:eastAsia="標楷體" w:hAnsi="標楷體" w:cs="新細明體"/>
                <w:color w:val="000000"/>
                <w:kern w:val="0"/>
                <w:sz w:val="22"/>
                <w:szCs w:val="22"/>
              </w:rPr>
            </w:pPr>
          </w:p>
        </w:tc>
        <w:tc>
          <w:tcPr>
            <w:tcW w:w="735" w:type="pct"/>
            <w:vMerge/>
            <w:tcBorders>
              <w:left w:val="nil"/>
              <w:bottom w:val="single" w:sz="4" w:space="0" w:color="auto"/>
              <w:right w:val="single" w:sz="4" w:space="0" w:color="000000"/>
            </w:tcBorders>
            <w:shd w:val="clear" w:color="auto" w:fill="auto"/>
            <w:vAlign w:val="center"/>
          </w:tcPr>
          <w:p w:rsidR="00117267" w:rsidRPr="00A92774" w:rsidRDefault="00117267" w:rsidP="008720F7">
            <w:pPr>
              <w:widowControl/>
              <w:snapToGrid w:val="0"/>
              <w:jc w:val="center"/>
              <w:rPr>
                <w:rFonts w:ascii="標楷體" w:eastAsia="標楷體" w:hAnsi="標楷體" w:cs="新細明體"/>
                <w:color w:val="000000"/>
                <w:kern w:val="0"/>
                <w:sz w:val="22"/>
                <w:szCs w:val="22"/>
              </w:rPr>
            </w:pPr>
          </w:p>
        </w:tc>
      </w:tr>
      <w:tr w:rsidR="00333F04" w:rsidRPr="003175DC" w:rsidTr="00333F04">
        <w:trPr>
          <w:trHeight w:val="270"/>
          <w:jc w:val="center"/>
        </w:trPr>
        <w:tc>
          <w:tcPr>
            <w:tcW w:w="656" w:type="pct"/>
            <w:vMerge w:val="restart"/>
            <w:tcBorders>
              <w:top w:val="single" w:sz="4" w:space="0" w:color="auto"/>
              <w:left w:val="single" w:sz="4" w:space="0" w:color="auto"/>
              <w:right w:val="single" w:sz="4" w:space="0" w:color="auto"/>
            </w:tcBorders>
            <w:shd w:val="clear" w:color="auto" w:fill="auto"/>
            <w:vAlign w:val="center"/>
          </w:tcPr>
          <w:p w:rsidR="00333F04" w:rsidRDefault="00333F04" w:rsidP="007813EC">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專業</w:t>
            </w:r>
            <w:r>
              <w:rPr>
                <w:rFonts w:ascii="標楷體" w:eastAsia="標楷體" w:hAnsi="標楷體" w:cs="新細明體" w:hint="eastAsia"/>
                <w:color w:val="000000"/>
                <w:kern w:val="0"/>
              </w:rPr>
              <w:t>選修</w:t>
            </w:r>
            <w:r w:rsidRPr="003175DC">
              <w:rPr>
                <w:rFonts w:ascii="標楷體" w:eastAsia="標楷體" w:hAnsi="標楷體" w:cs="新細明體" w:hint="eastAsia"/>
                <w:color w:val="000000"/>
                <w:kern w:val="0"/>
              </w:rPr>
              <w:t>課程</w:t>
            </w:r>
          </w:p>
          <w:p w:rsidR="00B43D05" w:rsidRPr="003175DC" w:rsidRDefault="00B43D05" w:rsidP="007813EC">
            <w:pPr>
              <w:widowControl/>
              <w:snapToGrid w:val="0"/>
              <w:spacing w:line="360" w:lineRule="exact"/>
              <w:jc w:val="center"/>
              <w:rPr>
                <w:rFonts w:ascii="標楷體" w:eastAsia="標楷體" w:hAnsi="標楷體" w:cs="新細明體"/>
                <w:color w:val="000000"/>
                <w:kern w:val="0"/>
              </w:rPr>
            </w:pPr>
            <w:r>
              <w:rPr>
                <w:rFonts w:hint="eastAsia"/>
              </w:rPr>
              <w:t>(</w:t>
            </w:r>
            <w:r w:rsidRPr="00B6436E">
              <w:t>Core Elective Courses</w:t>
            </w:r>
            <w:r>
              <w:rPr>
                <w:rFonts w:hint="eastAsia"/>
              </w:rPr>
              <w:t>)</w:t>
            </w:r>
          </w:p>
        </w:tc>
        <w:tc>
          <w:tcPr>
            <w:tcW w:w="417" w:type="pct"/>
            <w:vMerge w:val="restart"/>
            <w:tcBorders>
              <w:top w:val="single" w:sz="4" w:space="0" w:color="auto"/>
              <w:left w:val="nil"/>
              <w:right w:val="single" w:sz="4" w:space="0" w:color="auto"/>
            </w:tcBorders>
            <w:shd w:val="clear" w:color="auto" w:fill="auto"/>
            <w:vAlign w:val="center"/>
          </w:tcPr>
          <w:p w:rsidR="00333F04" w:rsidRPr="003175DC" w:rsidRDefault="00333F04" w:rsidP="0081027D">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選修</w:t>
            </w:r>
          </w:p>
        </w:tc>
        <w:tc>
          <w:tcPr>
            <w:tcW w:w="632" w:type="pct"/>
            <w:vMerge w:val="restart"/>
            <w:tcBorders>
              <w:top w:val="single" w:sz="4" w:space="0" w:color="auto"/>
              <w:left w:val="nil"/>
              <w:right w:val="single" w:sz="4" w:space="0" w:color="auto"/>
            </w:tcBorders>
            <w:shd w:val="clear" w:color="auto" w:fill="auto"/>
            <w:vAlign w:val="center"/>
          </w:tcPr>
          <w:p w:rsidR="00333F04" w:rsidRPr="003175DC" w:rsidRDefault="0081027D" w:rsidP="0081027D">
            <w:pPr>
              <w:widowControl/>
              <w:snapToGrid w:val="0"/>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至少</w:t>
            </w:r>
            <w:r w:rsidR="00333F04" w:rsidRPr="003175DC">
              <w:rPr>
                <w:rFonts w:ascii="標楷體" w:eastAsia="標楷體" w:hAnsi="標楷體" w:cs="新細明體" w:hint="eastAsia"/>
                <w:color w:val="000000"/>
                <w:kern w:val="0"/>
              </w:rPr>
              <w:t>修</w:t>
            </w:r>
            <w:r w:rsidR="00333F04">
              <w:rPr>
                <w:rFonts w:ascii="標楷體" w:eastAsia="標楷體" w:hAnsi="標楷體" w:cs="新細明體" w:hint="eastAsia"/>
                <w:color w:val="000000"/>
                <w:kern w:val="0"/>
              </w:rPr>
              <w:t>15</w:t>
            </w:r>
            <w:r w:rsidR="00333F04" w:rsidRPr="003175DC">
              <w:rPr>
                <w:rFonts w:ascii="標楷體" w:eastAsia="標楷體" w:hAnsi="標楷體" w:cs="新細明體" w:hint="eastAsia"/>
                <w:color w:val="000000"/>
                <w:kern w:val="0"/>
              </w:rPr>
              <w:t>學分數</w:t>
            </w:r>
          </w:p>
        </w:tc>
        <w:tc>
          <w:tcPr>
            <w:tcW w:w="775" w:type="pct"/>
            <w:tcBorders>
              <w:top w:val="single" w:sz="4" w:space="0" w:color="auto"/>
              <w:left w:val="nil"/>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多變量分析</w:t>
            </w:r>
          </w:p>
          <w:p w:rsidR="00B43D05" w:rsidRPr="00A92774" w:rsidRDefault="00B43D05" w:rsidP="008720F7">
            <w:pPr>
              <w:widowControl/>
              <w:snapToGrid w:val="0"/>
              <w:jc w:val="center"/>
              <w:rPr>
                <w:rFonts w:ascii="標楷體" w:eastAsia="標楷體" w:hAnsi="標楷體" w:cs="新細明體"/>
                <w:color w:val="000000"/>
                <w:kern w:val="0"/>
                <w:sz w:val="22"/>
                <w:szCs w:val="22"/>
              </w:rPr>
            </w:pPr>
            <w:r w:rsidRPr="00FF1D7E">
              <w:rPr>
                <w:rFonts w:ascii="標楷體" w:eastAsia="標楷體" w:hAnsi="標楷體"/>
                <w:kern w:val="0"/>
                <w:sz w:val="22"/>
                <w:szCs w:val="22"/>
              </w:rPr>
              <w:t>Multivariate Research Analyses</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國際財務管理</w:t>
            </w:r>
          </w:p>
          <w:p w:rsidR="002A2833" w:rsidRPr="00A92774" w:rsidRDefault="002A2833" w:rsidP="008720F7">
            <w:pPr>
              <w:widowControl/>
              <w:snapToGrid w:val="0"/>
              <w:jc w:val="center"/>
              <w:rPr>
                <w:rFonts w:ascii="標楷體" w:eastAsia="標楷體" w:hAnsi="標楷體" w:cs="新細明體"/>
                <w:color w:val="000000"/>
                <w:kern w:val="0"/>
                <w:sz w:val="22"/>
                <w:szCs w:val="22"/>
              </w:rPr>
            </w:pPr>
            <w:r w:rsidRPr="003218D0">
              <w:t>International Financial Management</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國際智慧財產權法</w:t>
            </w:r>
          </w:p>
          <w:p w:rsidR="002A2833" w:rsidRPr="00A92774" w:rsidRDefault="002A2833" w:rsidP="008720F7">
            <w:pPr>
              <w:widowControl/>
              <w:snapToGrid w:val="0"/>
              <w:jc w:val="center"/>
              <w:rPr>
                <w:rFonts w:ascii="標楷體" w:eastAsia="標楷體" w:hAnsi="標楷體" w:cs="新細明體"/>
                <w:color w:val="000000"/>
                <w:kern w:val="0"/>
                <w:sz w:val="22"/>
                <w:szCs w:val="22"/>
              </w:rPr>
            </w:pPr>
            <w:r w:rsidRPr="00D66133">
              <w:rPr>
                <w:kern w:val="0"/>
                <w:sz w:val="20"/>
                <w:szCs w:val="20"/>
              </w:rPr>
              <w:t>International Intellectual Property Rights</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跨文化溝通</w:t>
            </w:r>
          </w:p>
          <w:p w:rsidR="00A7205E" w:rsidRPr="00A92774" w:rsidRDefault="00A7205E" w:rsidP="008720F7">
            <w:pPr>
              <w:widowControl/>
              <w:snapToGrid w:val="0"/>
              <w:jc w:val="center"/>
              <w:rPr>
                <w:rFonts w:ascii="標楷體" w:eastAsia="標楷體" w:hAnsi="標楷體" w:cs="新細明體"/>
                <w:color w:val="000000"/>
                <w:kern w:val="0"/>
                <w:sz w:val="22"/>
                <w:szCs w:val="22"/>
              </w:rPr>
            </w:pPr>
            <w:r w:rsidRPr="003218D0">
              <w:rPr>
                <w:rFonts w:eastAsia="標楷體"/>
              </w:rPr>
              <w:t>Cross-Cultural Communication</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r>
      <w:tr w:rsidR="00333F04" w:rsidRPr="003175DC" w:rsidTr="00333F04">
        <w:trPr>
          <w:trHeight w:val="270"/>
          <w:jc w:val="center"/>
        </w:trPr>
        <w:tc>
          <w:tcPr>
            <w:tcW w:w="656" w:type="pct"/>
            <w:vMerge/>
            <w:tcBorders>
              <w:left w:val="single" w:sz="4" w:space="0" w:color="auto"/>
              <w:right w:val="single" w:sz="4" w:space="0" w:color="auto"/>
            </w:tcBorders>
            <w:shd w:val="clear" w:color="auto" w:fill="auto"/>
            <w:vAlign w:val="center"/>
          </w:tcPr>
          <w:p w:rsidR="00333F04" w:rsidRPr="003175DC" w:rsidRDefault="00333F04" w:rsidP="007813EC">
            <w:pPr>
              <w:widowControl/>
              <w:snapToGrid w:val="0"/>
              <w:spacing w:line="360" w:lineRule="exact"/>
              <w:jc w:val="center"/>
              <w:rPr>
                <w:rFonts w:ascii="標楷體" w:eastAsia="標楷體" w:hAnsi="標楷體" w:cs="新細明體"/>
                <w:color w:val="000000"/>
                <w:kern w:val="0"/>
              </w:rPr>
            </w:pPr>
          </w:p>
        </w:tc>
        <w:tc>
          <w:tcPr>
            <w:tcW w:w="417" w:type="pct"/>
            <w:vMerge/>
            <w:tcBorders>
              <w:left w:val="nil"/>
              <w:right w:val="single" w:sz="4" w:space="0" w:color="auto"/>
            </w:tcBorders>
            <w:shd w:val="clear" w:color="auto" w:fill="auto"/>
            <w:vAlign w:val="center"/>
          </w:tcPr>
          <w:p w:rsidR="00333F04" w:rsidRPr="003175DC" w:rsidRDefault="00333F04" w:rsidP="00246B23">
            <w:pPr>
              <w:widowControl/>
              <w:snapToGrid w:val="0"/>
              <w:spacing w:line="360" w:lineRule="exact"/>
              <w:jc w:val="center"/>
              <w:rPr>
                <w:rFonts w:ascii="標楷體" w:eastAsia="標楷體" w:hAnsi="標楷體" w:cs="新細明體"/>
                <w:color w:val="000000"/>
                <w:kern w:val="0"/>
              </w:rPr>
            </w:pPr>
          </w:p>
        </w:tc>
        <w:tc>
          <w:tcPr>
            <w:tcW w:w="632" w:type="pct"/>
            <w:vMerge/>
            <w:tcBorders>
              <w:left w:val="nil"/>
              <w:right w:val="single" w:sz="4" w:space="0" w:color="auto"/>
            </w:tcBorders>
            <w:shd w:val="clear" w:color="auto" w:fill="auto"/>
            <w:vAlign w:val="center"/>
          </w:tcPr>
          <w:p w:rsidR="00333F04" w:rsidRPr="003175DC" w:rsidRDefault="00333F04" w:rsidP="00246B23">
            <w:pPr>
              <w:widowControl/>
              <w:snapToGrid w:val="0"/>
              <w:spacing w:line="360" w:lineRule="exact"/>
              <w:jc w:val="both"/>
              <w:rPr>
                <w:rFonts w:ascii="標楷體" w:eastAsia="標楷體" w:hAnsi="標楷體" w:cs="新細明體"/>
                <w:color w:val="000000"/>
                <w:kern w:val="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國際行銷專題</w:t>
            </w:r>
          </w:p>
          <w:p w:rsidR="009E5CCE" w:rsidRPr="003218D0" w:rsidRDefault="009E5CCE" w:rsidP="009E5CCE">
            <w:pPr>
              <w:snapToGrid w:val="0"/>
              <w:ind w:left="1980" w:hanging="1980"/>
              <w:rPr>
                <w:rFonts w:eastAsia="標楷體"/>
              </w:rPr>
            </w:pPr>
            <w:r w:rsidRPr="003218D0">
              <w:rPr>
                <w:rFonts w:eastAsia="標楷體"/>
              </w:rPr>
              <w:t xml:space="preserve">International marketing </w:t>
            </w:r>
          </w:p>
          <w:p w:rsidR="009E5CCE" w:rsidRPr="00A92774" w:rsidRDefault="009E5CCE" w:rsidP="009E5CCE">
            <w:pPr>
              <w:widowControl/>
              <w:snapToGrid w:val="0"/>
              <w:jc w:val="center"/>
              <w:rPr>
                <w:rFonts w:ascii="標楷體" w:eastAsia="標楷體" w:hAnsi="標楷體" w:cs="新細明體"/>
                <w:color w:val="000000"/>
                <w:kern w:val="0"/>
                <w:sz w:val="22"/>
                <w:szCs w:val="22"/>
              </w:rPr>
            </w:pPr>
            <w:r w:rsidRPr="003218D0">
              <w:rPr>
                <w:rFonts w:eastAsia="標楷體"/>
              </w:rPr>
              <w:t>management - special topics</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服務作業管理</w:t>
            </w:r>
          </w:p>
          <w:p w:rsidR="002A2833" w:rsidRPr="00A92774" w:rsidRDefault="002A2833" w:rsidP="008720F7">
            <w:pPr>
              <w:widowControl/>
              <w:snapToGrid w:val="0"/>
              <w:jc w:val="center"/>
              <w:rPr>
                <w:rFonts w:ascii="標楷體" w:eastAsia="標楷體" w:hAnsi="標楷體" w:cs="新細明體"/>
                <w:color w:val="000000"/>
                <w:kern w:val="0"/>
                <w:sz w:val="22"/>
                <w:szCs w:val="22"/>
              </w:rPr>
            </w:pPr>
            <w:r w:rsidRPr="003218D0">
              <w:rPr>
                <w:color w:val="000000"/>
              </w:rPr>
              <w:t>Service</w:t>
            </w:r>
            <w:r w:rsidRPr="003218D0">
              <w:rPr>
                <w:rFonts w:eastAsia="標楷體"/>
                <w:sz w:val="26"/>
                <w:szCs w:val="26"/>
              </w:rPr>
              <w:t xml:space="preserve"> </w:t>
            </w:r>
            <w:r w:rsidRPr="003218D0">
              <w:rPr>
                <w:rFonts w:eastAsia="標楷體"/>
                <w:color w:val="000000"/>
              </w:rPr>
              <w:t>Operations Management</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策略管理</w:t>
            </w:r>
          </w:p>
          <w:p w:rsidR="002A2833" w:rsidRPr="00A92774" w:rsidRDefault="002A2833" w:rsidP="008720F7">
            <w:pPr>
              <w:widowControl/>
              <w:snapToGrid w:val="0"/>
              <w:jc w:val="center"/>
              <w:rPr>
                <w:rFonts w:ascii="標楷體" w:eastAsia="標楷體" w:hAnsi="標楷體" w:cs="新細明體"/>
                <w:color w:val="000000"/>
                <w:kern w:val="0"/>
                <w:sz w:val="22"/>
                <w:szCs w:val="22"/>
              </w:rPr>
            </w:pPr>
            <w:r w:rsidRPr="003218D0">
              <w:rPr>
                <w:rFonts w:eastAsia="標楷體"/>
                <w:bCs/>
              </w:rPr>
              <w:t>Strategic Management</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Pr="00A92774" w:rsidRDefault="00333F04" w:rsidP="008720F7">
            <w:pPr>
              <w:widowControl/>
              <w:snapToGrid w:val="0"/>
              <w:jc w:val="center"/>
              <w:rPr>
                <w:rFonts w:ascii="標楷體" w:eastAsia="標楷體" w:hAnsi="標楷體" w:cs="新細明體"/>
                <w:color w:val="000000"/>
                <w:kern w:val="0"/>
                <w:sz w:val="22"/>
                <w:szCs w:val="22"/>
              </w:rPr>
            </w:pPr>
          </w:p>
        </w:tc>
      </w:tr>
      <w:tr w:rsidR="00333F04" w:rsidRPr="003175DC" w:rsidTr="00333F04">
        <w:trPr>
          <w:trHeight w:val="270"/>
          <w:jc w:val="center"/>
        </w:trPr>
        <w:tc>
          <w:tcPr>
            <w:tcW w:w="656" w:type="pct"/>
            <w:vMerge/>
            <w:tcBorders>
              <w:left w:val="single" w:sz="4" w:space="0" w:color="auto"/>
              <w:right w:val="single" w:sz="4" w:space="0" w:color="auto"/>
            </w:tcBorders>
            <w:shd w:val="clear" w:color="auto" w:fill="auto"/>
            <w:vAlign w:val="center"/>
          </w:tcPr>
          <w:p w:rsidR="00333F04" w:rsidRPr="003175DC" w:rsidRDefault="00333F04" w:rsidP="007813EC">
            <w:pPr>
              <w:widowControl/>
              <w:snapToGrid w:val="0"/>
              <w:spacing w:line="360" w:lineRule="exact"/>
              <w:jc w:val="center"/>
              <w:rPr>
                <w:rFonts w:ascii="標楷體" w:eastAsia="標楷體" w:hAnsi="標楷體" w:cs="新細明體"/>
                <w:color w:val="000000"/>
                <w:kern w:val="0"/>
              </w:rPr>
            </w:pPr>
          </w:p>
        </w:tc>
        <w:tc>
          <w:tcPr>
            <w:tcW w:w="417" w:type="pct"/>
            <w:vMerge/>
            <w:tcBorders>
              <w:left w:val="nil"/>
              <w:right w:val="single" w:sz="4" w:space="0" w:color="auto"/>
            </w:tcBorders>
            <w:shd w:val="clear" w:color="auto" w:fill="auto"/>
            <w:vAlign w:val="center"/>
          </w:tcPr>
          <w:p w:rsidR="00333F04" w:rsidRPr="003175DC" w:rsidRDefault="00333F04" w:rsidP="00246B23">
            <w:pPr>
              <w:widowControl/>
              <w:snapToGrid w:val="0"/>
              <w:spacing w:line="360" w:lineRule="exact"/>
              <w:jc w:val="center"/>
              <w:rPr>
                <w:rFonts w:ascii="標楷體" w:eastAsia="標楷體" w:hAnsi="標楷體" w:cs="新細明體"/>
                <w:color w:val="000000"/>
                <w:kern w:val="0"/>
              </w:rPr>
            </w:pPr>
          </w:p>
        </w:tc>
        <w:tc>
          <w:tcPr>
            <w:tcW w:w="632" w:type="pct"/>
            <w:vMerge/>
            <w:tcBorders>
              <w:left w:val="nil"/>
              <w:right w:val="single" w:sz="4" w:space="0" w:color="auto"/>
            </w:tcBorders>
            <w:shd w:val="clear" w:color="auto" w:fill="auto"/>
            <w:vAlign w:val="center"/>
          </w:tcPr>
          <w:p w:rsidR="00333F04" w:rsidRPr="003175DC" w:rsidRDefault="00333F04" w:rsidP="00246B23">
            <w:pPr>
              <w:widowControl/>
              <w:snapToGrid w:val="0"/>
              <w:spacing w:line="360" w:lineRule="exact"/>
              <w:jc w:val="both"/>
              <w:rPr>
                <w:rFonts w:ascii="標楷體" w:eastAsia="標楷體" w:hAnsi="標楷體" w:cs="新細明體"/>
                <w:color w:val="000000"/>
                <w:kern w:val="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供應鏈管理專題</w:t>
            </w:r>
          </w:p>
          <w:p w:rsidR="009E5CCE" w:rsidRPr="00A92774" w:rsidRDefault="009E5CCE" w:rsidP="008720F7">
            <w:pPr>
              <w:widowControl/>
              <w:snapToGrid w:val="0"/>
              <w:jc w:val="center"/>
              <w:rPr>
                <w:rFonts w:ascii="標楷體" w:eastAsia="標楷體" w:hAnsi="標楷體" w:cs="新細明體"/>
                <w:color w:val="000000"/>
                <w:kern w:val="0"/>
                <w:sz w:val="22"/>
                <w:szCs w:val="22"/>
              </w:rPr>
            </w:pPr>
            <w:r w:rsidRPr="003218D0">
              <w:t>Supply Chain Management</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國際經貿談判</w:t>
            </w:r>
          </w:p>
          <w:p w:rsidR="002A2833" w:rsidRPr="00A92774" w:rsidRDefault="002A2833" w:rsidP="008720F7">
            <w:pPr>
              <w:widowControl/>
              <w:snapToGrid w:val="0"/>
              <w:jc w:val="center"/>
              <w:rPr>
                <w:rFonts w:ascii="標楷體" w:eastAsia="標楷體" w:hAnsi="標楷體" w:cs="新細明體"/>
                <w:color w:val="000000"/>
                <w:kern w:val="0"/>
                <w:sz w:val="22"/>
                <w:szCs w:val="22"/>
              </w:rPr>
            </w:pPr>
            <w:r w:rsidRPr="003218D0">
              <w:rPr>
                <w:rFonts w:eastAsia="標楷體"/>
                <w:bCs/>
              </w:rPr>
              <w:t>International Economic and Trade Negotiation</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質性研究方法</w:t>
            </w:r>
          </w:p>
          <w:p w:rsidR="002A2833" w:rsidRPr="00A92774" w:rsidRDefault="00A7205E" w:rsidP="008720F7">
            <w:pPr>
              <w:widowControl/>
              <w:snapToGrid w:val="0"/>
              <w:jc w:val="center"/>
              <w:rPr>
                <w:rFonts w:ascii="標楷體" w:eastAsia="標楷體" w:hAnsi="標楷體" w:cs="新細明體"/>
                <w:color w:val="000000"/>
                <w:kern w:val="0"/>
                <w:sz w:val="22"/>
                <w:szCs w:val="22"/>
              </w:rPr>
            </w:pPr>
            <w:r w:rsidRPr="003218D0">
              <w:rPr>
                <w:rFonts w:eastAsia="BiauKai"/>
                <w:bCs/>
              </w:rPr>
              <w:t>Qualitative Research Methods</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Pr="00A92774" w:rsidRDefault="00333F04" w:rsidP="008720F7">
            <w:pPr>
              <w:widowControl/>
              <w:snapToGrid w:val="0"/>
              <w:jc w:val="center"/>
              <w:rPr>
                <w:rFonts w:ascii="標楷體" w:eastAsia="標楷體" w:hAnsi="標楷體" w:cs="新細明體"/>
                <w:color w:val="000000"/>
                <w:kern w:val="0"/>
                <w:sz w:val="22"/>
                <w:szCs w:val="22"/>
              </w:rPr>
            </w:pPr>
          </w:p>
        </w:tc>
      </w:tr>
      <w:tr w:rsidR="00333F04" w:rsidRPr="003175DC" w:rsidTr="00C9430A">
        <w:trPr>
          <w:trHeight w:val="270"/>
          <w:jc w:val="center"/>
        </w:trPr>
        <w:tc>
          <w:tcPr>
            <w:tcW w:w="656" w:type="pct"/>
            <w:vMerge/>
            <w:tcBorders>
              <w:left w:val="single" w:sz="4" w:space="0" w:color="auto"/>
              <w:bottom w:val="single" w:sz="4" w:space="0" w:color="auto"/>
              <w:right w:val="single" w:sz="4" w:space="0" w:color="auto"/>
            </w:tcBorders>
            <w:shd w:val="clear" w:color="auto" w:fill="auto"/>
            <w:vAlign w:val="center"/>
          </w:tcPr>
          <w:p w:rsidR="00333F04" w:rsidRPr="003175DC" w:rsidRDefault="00333F04" w:rsidP="007813EC">
            <w:pPr>
              <w:widowControl/>
              <w:snapToGrid w:val="0"/>
              <w:spacing w:line="360" w:lineRule="exact"/>
              <w:jc w:val="center"/>
              <w:rPr>
                <w:rFonts w:ascii="標楷體" w:eastAsia="標楷體" w:hAnsi="標楷體" w:cs="新細明體"/>
                <w:color w:val="000000"/>
                <w:kern w:val="0"/>
              </w:rPr>
            </w:pPr>
          </w:p>
        </w:tc>
        <w:tc>
          <w:tcPr>
            <w:tcW w:w="417" w:type="pct"/>
            <w:vMerge/>
            <w:tcBorders>
              <w:left w:val="nil"/>
              <w:bottom w:val="single" w:sz="4" w:space="0" w:color="auto"/>
              <w:right w:val="single" w:sz="4" w:space="0" w:color="auto"/>
            </w:tcBorders>
            <w:shd w:val="clear" w:color="auto" w:fill="auto"/>
            <w:vAlign w:val="center"/>
          </w:tcPr>
          <w:p w:rsidR="00333F04" w:rsidRPr="003175DC" w:rsidRDefault="00333F04" w:rsidP="00246B23">
            <w:pPr>
              <w:widowControl/>
              <w:snapToGrid w:val="0"/>
              <w:spacing w:line="360" w:lineRule="exact"/>
              <w:jc w:val="center"/>
              <w:rPr>
                <w:rFonts w:ascii="標楷體" w:eastAsia="標楷體" w:hAnsi="標楷體" w:cs="新細明體"/>
                <w:color w:val="000000"/>
                <w:kern w:val="0"/>
              </w:rPr>
            </w:pPr>
          </w:p>
        </w:tc>
        <w:tc>
          <w:tcPr>
            <w:tcW w:w="632" w:type="pct"/>
            <w:vMerge/>
            <w:tcBorders>
              <w:left w:val="nil"/>
              <w:bottom w:val="single" w:sz="4" w:space="0" w:color="auto"/>
              <w:right w:val="single" w:sz="4" w:space="0" w:color="auto"/>
            </w:tcBorders>
            <w:shd w:val="clear" w:color="auto" w:fill="auto"/>
            <w:vAlign w:val="center"/>
          </w:tcPr>
          <w:p w:rsidR="00333F04" w:rsidRPr="003175DC" w:rsidRDefault="00333F04" w:rsidP="00246B23">
            <w:pPr>
              <w:widowControl/>
              <w:snapToGrid w:val="0"/>
              <w:spacing w:line="360" w:lineRule="exact"/>
              <w:jc w:val="both"/>
              <w:rPr>
                <w:rFonts w:ascii="標楷體" w:eastAsia="標楷體" w:hAnsi="標楷體" w:cs="新細明體"/>
                <w:color w:val="000000"/>
                <w:kern w:val="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333F0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電子商務理論與管理</w:t>
            </w:r>
          </w:p>
          <w:p w:rsidR="009E5CCE" w:rsidRPr="00A92774" w:rsidRDefault="009E5CCE" w:rsidP="008720F7">
            <w:pPr>
              <w:widowControl/>
              <w:snapToGrid w:val="0"/>
              <w:jc w:val="center"/>
              <w:rPr>
                <w:rFonts w:ascii="標楷體" w:eastAsia="標楷體" w:hAnsi="標楷體" w:cs="新細明體"/>
                <w:color w:val="000000"/>
                <w:kern w:val="0"/>
                <w:sz w:val="22"/>
                <w:szCs w:val="22"/>
              </w:rPr>
            </w:pPr>
            <w:r w:rsidRPr="003218D0">
              <w:t>International Investment Seminar</w:t>
            </w:r>
          </w:p>
          <w:p w:rsidR="00333F04" w:rsidRPr="00A92774" w:rsidRDefault="00333F04"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Pr="00A92774" w:rsidRDefault="00333F04" w:rsidP="008720F7">
            <w:pPr>
              <w:widowControl/>
              <w:snapToGrid w:val="0"/>
              <w:jc w:val="center"/>
              <w:rPr>
                <w:rFonts w:ascii="標楷體" w:eastAsia="標楷體" w:hAnsi="標楷體" w:cs="新細明體"/>
                <w:color w:val="000000"/>
                <w:kern w:val="0"/>
                <w:sz w:val="22"/>
                <w:szCs w:val="22"/>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512EA9" w:rsidRDefault="00512EA9" w:rsidP="00512EA9">
            <w:pPr>
              <w:widowControl/>
              <w:snapToGrid w:val="0"/>
              <w:jc w:val="center"/>
              <w:rPr>
                <w:rFonts w:ascii="標楷體" w:eastAsia="標楷體" w:hAnsi="標楷體" w:cs="新細明體"/>
                <w:b/>
                <w:color w:val="000000"/>
                <w:kern w:val="0"/>
                <w:sz w:val="22"/>
                <w:szCs w:val="22"/>
                <w:u w:val="single"/>
              </w:rPr>
            </w:pPr>
            <w:r w:rsidRPr="00A92774">
              <w:rPr>
                <w:rFonts w:ascii="標楷體" w:eastAsia="標楷體" w:hAnsi="標楷體" w:cs="新細明體" w:hint="eastAsia"/>
                <w:b/>
                <w:color w:val="000000"/>
                <w:kern w:val="0"/>
                <w:sz w:val="22"/>
                <w:szCs w:val="22"/>
                <w:u w:val="single"/>
              </w:rPr>
              <w:t>創新管理</w:t>
            </w:r>
          </w:p>
          <w:p w:rsidR="00512EA9" w:rsidRPr="00A92774" w:rsidRDefault="00512EA9" w:rsidP="00512EA9">
            <w:pPr>
              <w:widowControl/>
              <w:snapToGrid w:val="0"/>
              <w:jc w:val="center"/>
              <w:rPr>
                <w:rFonts w:ascii="標楷體" w:eastAsia="標楷體" w:hAnsi="標楷體" w:cs="新細明體"/>
                <w:b/>
                <w:color w:val="000000"/>
                <w:kern w:val="0"/>
                <w:sz w:val="22"/>
                <w:szCs w:val="22"/>
                <w:u w:val="single"/>
              </w:rPr>
            </w:pPr>
            <w:r w:rsidRPr="00E31E9B">
              <w:rPr>
                <w:rFonts w:eastAsia="標楷體" w:hint="eastAsia"/>
                <w:kern w:val="0"/>
              </w:rPr>
              <w:t>Innovation Management</w:t>
            </w:r>
          </w:p>
          <w:p w:rsidR="00333F04" w:rsidRPr="00A92774" w:rsidRDefault="00512EA9" w:rsidP="00512EA9">
            <w:pPr>
              <w:widowControl/>
              <w:snapToGrid w:val="0"/>
              <w:jc w:val="center"/>
              <w:rPr>
                <w:rFonts w:ascii="標楷體" w:eastAsia="標楷體" w:hAnsi="標楷體" w:cs="新細明體"/>
                <w:b/>
                <w:color w:val="000000"/>
                <w:kern w:val="0"/>
                <w:sz w:val="22"/>
                <w:szCs w:val="22"/>
                <w:u w:val="single"/>
              </w:rPr>
            </w:pPr>
            <w:r w:rsidRPr="00A92774">
              <w:rPr>
                <w:rFonts w:ascii="標楷體" w:eastAsia="標楷體" w:hAnsi="標楷體" w:cs="新細明體" w:hint="eastAsia"/>
                <w:b/>
                <w:color w:val="000000"/>
                <w:kern w:val="0"/>
                <w:sz w:val="22"/>
                <w:szCs w:val="22"/>
                <w:u w:val="single"/>
              </w:rPr>
              <w:t>(3學分/3小時)</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333F04" w:rsidRPr="00A92774" w:rsidRDefault="00333F04" w:rsidP="008720F7">
            <w:pPr>
              <w:widowControl/>
              <w:snapToGrid w:val="0"/>
              <w:jc w:val="center"/>
              <w:rPr>
                <w:rFonts w:ascii="標楷體" w:eastAsia="標楷體" w:hAnsi="標楷體" w:cs="新細明體"/>
                <w:color w:val="000000"/>
                <w:kern w:val="0"/>
                <w:sz w:val="22"/>
                <w:szCs w:val="22"/>
              </w:rPr>
            </w:pPr>
          </w:p>
        </w:tc>
      </w:tr>
      <w:tr w:rsidR="0081027D" w:rsidRPr="003175DC" w:rsidTr="00C9430A">
        <w:trPr>
          <w:trHeight w:val="360"/>
          <w:jc w:val="center"/>
        </w:trPr>
        <w:tc>
          <w:tcPr>
            <w:tcW w:w="656" w:type="pct"/>
            <w:vMerge w:val="restart"/>
            <w:tcBorders>
              <w:top w:val="single" w:sz="4" w:space="0" w:color="auto"/>
              <w:left w:val="single" w:sz="4" w:space="0" w:color="auto"/>
              <w:right w:val="single" w:sz="4" w:space="0" w:color="auto"/>
            </w:tcBorders>
            <w:shd w:val="clear" w:color="auto" w:fill="auto"/>
            <w:vAlign w:val="center"/>
          </w:tcPr>
          <w:p w:rsidR="0081027D" w:rsidRDefault="0081027D" w:rsidP="007813EC">
            <w:pPr>
              <w:widowControl/>
              <w:snapToGrid w:val="0"/>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一般選修</w:t>
            </w:r>
            <w:r w:rsidRPr="003175DC">
              <w:rPr>
                <w:rFonts w:ascii="標楷體" w:eastAsia="標楷體" w:hAnsi="標楷體" w:cs="新細明體" w:hint="eastAsia"/>
                <w:color w:val="000000"/>
                <w:kern w:val="0"/>
              </w:rPr>
              <w:t>課程</w:t>
            </w:r>
          </w:p>
          <w:p w:rsidR="00136D4F" w:rsidRPr="003175DC" w:rsidRDefault="00136D4F" w:rsidP="007813EC">
            <w:pPr>
              <w:widowControl/>
              <w:snapToGrid w:val="0"/>
              <w:spacing w:line="360" w:lineRule="exact"/>
              <w:jc w:val="center"/>
              <w:rPr>
                <w:rFonts w:ascii="標楷體" w:eastAsia="標楷體" w:hAnsi="標楷體" w:cs="新細明體"/>
                <w:color w:val="000000"/>
                <w:kern w:val="0"/>
              </w:rPr>
            </w:pPr>
            <w:r>
              <w:rPr>
                <w:rFonts w:ascii="標楷體" w:eastAsia="標楷體" w:hAnsi="標楷體" w:cs="新細明體" w:hint="eastAsia"/>
                <w:color w:val="000000"/>
                <w:kern w:val="0"/>
              </w:rPr>
              <w:t>(</w:t>
            </w:r>
            <w:r>
              <w:t>Elective Courses</w:t>
            </w:r>
            <w:r>
              <w:rPr>
                <w:rFonts w:hint="eastAsia"/>
              </w:rPr>
              <w:t>)</w:t>
            </w:r>
          </w:p>
        </w:tc>
        <w:tc>
          <w:tcPr>
            <w:tcW w:w="417" w:type="pct"/>
            <w:vMerge w:val="restart"/>
            <w:tcBorders>
              <w:top w:val="single" w:sz="4" w:space="0" w:color="auto"/>
              <w:left w:val="nil"/>
              <w:right w:val="single" w:sz="4" w:space="0" w:color="auto"/>
            </w:tcBorders>
            <w:shd w:val="clear" w:color="auto" w:fill="auto"/>
            <w:vAlign w:val="center"/>
          </w:tcPr>
          <w:p w:rsidR="0081027D" w:rsidRPr="003175DC" w:rsidRDefault="0081027D" w:rsidP="00246B23">
            <w:pPr>
              <w:widowControl/>
              <w:snapToGrid w:val="0"/>
              <w:spacing w:line="360" w:lineRule="exact"/>
              <w:jc w:val="center"/>
              <w:rPr>
                <w:rFonts w:ascii="標楷體" w:eastAsia="標楷體" w:hAnsi="標楷體" w:cs="新細明體"/>
                <w:color w:val="000000"/>
                <w:kern w:val="0"/>
              </w:rPr>
            </w:pPr>
            <w:r w:rsidRPr="003175DC">
              <w:rPr>
                <w:rFonts w:ascii="標楷體" w:eastAsia="標楷體" w:hAnsi="標楷體" w:cs="新細明體" w:hint="eastAsia"/>
                <w:color w:val="000000"/>
                <w:kern w:val="0"/>
              </w:rPr>
              <w:t>選修</w:t>
            </w:r>
          </w:p>
        </w:tc>
        <w:tc>
          <w:tcPr>
            <w:tcW w:w="632" w:type="pct"/>
            <w:vMerge w:val="restart"/>
            <w:tcBorders>
              <w:top w:val="single" w:sz="4" w:space="0" w:color="auto"/>
              <w:left w:val="nil"/>
              <w:right w:val="single" w:sz="4" w:space="0" w:color="auto"/>
            </w:tcBorders>
            <w:shd w:val="clear" w:color="auto" w:fill="auto"/>
            <w:vAlign w:val="center"/>
          </w:tcPr>
          <w:p w:rsidR="0081027D" w:rsidRPr="003175DC" w:rsidRDefault="0081027D" w:rsidP="00246B23">
            <w:pPr>
              <w:widowControl/>
              <w:snapToGrid w:val="0"/>
              <w:spacing w:line="360" w:lineRule="exact"/>
              <w:jc w:val="both"/>
              <w:rPr>
                <w:rFonts w:ascii="標楷體" w:eastAsia="標楷體" w:hAnsi="標楷體" w:cs="新細明體"/>
                <w:color w:val="000000"/>
                <w:kern w:val="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81027D" w:rsidRDefault="0081027D"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國際投資專題</w:t>
            </w:r>
          </w:p>
          <w:p w:rsidR="009E5CCE" w:rsidRPr="00A92774" w:rsidRDefault="009E5CCE" w:rsidP="008720F7">
            <w:pPr>
              <w:widowControl/>
              <w:snapToGrid w:val="0"/>
              <w:jc w:val="center"/>
              <w:rPr>
                <w:rFonts w:ascii="標楷體" w:eastAsia="標楷體" w:hAnsi="標楷體" w:cs="新細明體"/>
                <w:color w:val="000000"/>
                <w:kern w:val="0"/>
                <w:sz w:val="22"/>
                <w:szCs w:val="22"/>
              </w:rPr>
            </w:pPr>
            <w:r w:rsidRPr="003218D0">
              <w:t>International Investment Seminar</w:t>
            </w:r>
          </w:p>
          <w:p w:rsidR="0081027D" w:rsidRPr="00A92774" w:rsidRDefault="0081027D"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1027D" w:rsidRDefault="0081027D"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管理英文</w:t>
            </w:r>
          </w:p>
          <w:p w:rsidR="002A2833" w:rsidRPr="00A92774" w:rsidRDefault="002A2833" w:rsidP="008720F7">
            <w:pPr>
              <w:widowControl/>
              <w:snapToGrid w:val="0"/>
              <w:jc w:val="center"/>
              <w:rPr>
                <w:rFonts w:ascii="標楷體" w:eastAsia="標楷體" w:hAnsi="標楷體" w:cs="新細明體"/>
                <w:color w:val="000000"/>
                <w:kern w:val="0"/>
                <w:sz w:val="22"/>
                <w:szCs w:val="22"/>
              </w:rPr>
            </w:pPr>
            <w:r w:rsidRPr="003218D0">
              <w:rPr>
                <w:color w:val="000000"/>
              </w:rPr>
              <w:t>Management and Business English</w:t>
            </w:r>
          </w:p>
          <w:p w:rsidR="0081027D" w:rsidRPr="00A92774" w:rsidRDefault="0081027D"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81027D" w:rsidRPr="00A92774" w:rsidRDefault="0081027D" w:rsidP="00512EA9">
            <w:pPr>
              <w:widowControl/>
              <w:snapToGrid w:val="0"/>
              <w:jc w:val="center"/>
              <w:rPr>
                <w:rFonts w:ascii="標楷體" w:eastAsia="標楷體" w:hAnsi="標楷體" w:cs="新細明體"/>
                <w:color w:val="000000"/>
                <w:kern w:val="0"/>
                <w:sz w:val="22"/>
                <w:szCs w:val="22"/>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81027D" w:rsidRDefault="00C9430A"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顧客關係管理專題</w:t>
            </w:r>
          </w:p>
          <w:p w:rsidR="00DA60B6" w:rsidRPr="00A92774" w:rsidRDefault="00DA60B6" w:rsidP="008720F7">
            <w:pPr>
              <w:widowControl/>
              <w:snapToGrid w:val="0"/>
              <w:jc w:val="center"/>
              <w:rPr>
                <w:rFonts w:ascii="標楷體" w:eastAsia="標楷體" w:hAnsi="標楷體" w:cs="新細明體"/>
                <w:color w:val="000000"/>
                <w:kern w:val="0"/>
                <w:sz w:val="22"/>
                <w:szCs w:val="22"/>
              </w:rPr>
            </w:pPr>
            <w:r w:rsidRPr="001C0E9A">
              <w:rPr>
                <w:rFonts w:hint="eastAsia"/>
                <w:color w:val="000000"/>
                <w:sz w:val="20"/>
              </w:rPr>
              <w:t>Customer Relationship Management</w:t>
            </w:r>
          </w:p>
          <w:p w:rsidR="00C9430A" w:rsidRPr="00A92774" w:rsidRDefault="00C9430A"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r>
      <w:tr w:rsidR="0081027D" w:rsidRPr="003175DC" w:rsidTr="008720F7">
        <w:trPr>
          <w:trHeight w:val="360"/>
          <w:jc w:val="center"/>
        </w:trPr>
        <w:tc>
          <w:tcPr>
            <w:tcW w:w="656" w:type="pct"/>
            <w:vMerge/>
            <w:tcBorders>
              <w:left w:val="single" w:sz="4" w:space="0" w:color="auto"/>
              <w:right w:val="single" w:sz="4" w:space="0" w:color="auto"/>
            </w:tcBorders>
            <w:shd w:val="clear" w:color="auto" w:fill="auto"/>
            <w:vAlign w:val="center"/>
          </w:tcPr>
          <w:p w:rsidR="0081027D" w:rsidRDefault="0081027D" w:rsidP="007813EC">
            <w:pPr>
              <w:widowControl/>
              <w:snapToGrid w:val="0"/>
              <w:spacing w:line="360" w:lineRule="exact"/>
              <w:jc w:val="center"/>
              <w:rPr>
                <w:rFonts w:ascii="標楷體" w:eastAsia="標楷體" w:hAnsi="標楷體" w:cs="新細明體"/>
                <w:color w:val="000000"/>
                <w:kern w:val="0"/>
              </w:rPr>
            </w:pPr>
          </w:p>
        </w:tc>
        <w:tc>
          <w:tcPr>
            <w:tcW w:w="417" w:type="pct"/>
            <w:vMerge/>
            <w:tcBorders>
              <w:left w:val="nil"/>
              <w:right w:val="single" w:sz="4" w:space="0" w:color="auto"/>
            </w:tcBorders>
            <w:shd w:val="clear" w:color="auto" w:fill="auto"/>
            <w:vAlign w:val="center"/>
          </w:tcPr>
          <w:p w:rsidR="0081027D" w:rsidRPr="003175DC" w:rsidRDefault="0081027D" w:rsidP="00246B23">
            <w:pPr>
              <w:widowControl/>
              <w:snapToGrid w:val="0"/>
              <w:spacing w:line="360" w:lineRule="exact"/>
              <w:jc w:val="center"/>
              <w:rPr>
                <w:rFonts w:ascii="標楷體" w:eastAsia="標楷體" w:hAnsi="標楷體" w:cs="新細明體"/>
                <w:color w:val="000000"/>
                <w:kern w:val="0"/>
              </w:rPr>
            </w:pPr>
          </w:p>
        </w:tc>
        <w:tc>
          <w:tcPr>
            <w:tcW w:w="632" w:type="pct"/>
            <w:vMerge/>
            <w:tcBorders>
              <w:left w:val="nil"/>
              <w:right w:val="single" w:sz="4" w:space="0" w:color="auto"/>
            </w:tcBorders>
            <w:shd w:val="clear" w:color="auto" w:fill="auto"/>
            <w:vAlign w:val="center"/>
          </w:tcPr>
          <w:p w:rsidR="0081027D" w:rsidRPr="003175DC" w:rsidRDefault="0081027D" w:rsidP="00246B23">
            <w:pPr>
              <w:widowControl/>
              <w:snapToGrid w:val="0"/>
              <w:spacing w:line="360" w:lineRule="exact"/>
              <w:jc w:val="both"/>
              <w:rPr>
                <w:rFonts w:ascii="標楷體" w:eastAsia="標楷體" w:hAnsi="標楷體" w:cs="新細明體"/>
                <w:color w:val="000000"/>
                <w:kern w:val="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81027D" w:rsidRDefault="00512EA9" w:rsidP="008720F7">
            <w:pPr>
              <w:widowControl/>
              <w:snapToGrid w:val="0"/>
              <w:jc w:val="center"/>
              <w:rPr>
                <w:rFonts w:ascii="標楷體" w:eastAsia="標楷體" w:hAnsi="標楷體" w:cs="新細明體"/>
                <w:b/>
                <w:color w:val="000000"/>
                <w:kern w:val="0"/>
                <w:sz w:val="22"/>
                <w:szCs w:val="22"/>
              </w:rPr>
            </w:pPr>
            <w:r w:rsidRPr="009531B2">
              <w:rPr>
                <w:rFonts w:ascii="標楷體" w:eastAsia="標楷體" w:hAnsi="標楷體" w:cs="新細明體" w:hint="eastAsia"/>
                <w:b/>
                <w:color w:val="000000"/>
                <w:kern w:val="0"/>
                <w:sz w:val="22"/>
                <w:szCs w:val="22"/>
              </w:rPr>
              <w:t>國際社會企業管理</w:t>
            </w:r>
          </w:p>
          <w:p w:rsidR="00512EA9" w:rsidRDefault="00512EA9" w:rsidP="008720F7">
            <w:pPr>
              <w:widowControl/>
              <w:snapToGrid w:val="0"/>
              <w:jc w:val="center"/>
              <w:rPr>
                <w:rFonts w:ascii="標楷體" w:eastAsia="標楷體" w:hAnsi="標楷體" w:cs="新細明體"/>
                <w:color w:val="000000"/>
                <w:kern w:val="0"/>
                <w:sz w:val="22"/>
                <w:szCs w:val="22"/>
              </w:rPr>
            </w:pPr>
            <w:r w:rsidRPr="00512EA9">
              <w:rPr>
                <w:rFonts w:ascii="標楷體" w:eastAsia="標楷體" w:hAnsi="標楷體" w:cs="新細明體"/>
                <w:color w:val="000000"/>
                <w:kern w:val="0"/>
                <w:sz w:val="22"/>
                <w:szCs w:val="22"/>
              </w:rPr>
              <w:t>International Social Business Management</w:t>
            </w:r>
          </w:p>
          <w:p w:rsidR="00512EA9" w:rsidRPr="00A92774" w:rsidRDefault="00512EA9" w:rsidP="008720F7">
            <w:pPr>
              <w:widowControl/>
              <w:snapToGrid w:val="0"/>
              <w:jc w:val="center"/>
              <w:rPr>
                <w:rFonts w:ascii="標楷體" w:eastAsia="標楷體" w:hAnsi="標楷體" w:cs="新細明體"/>
                <w:color w:val="000000"/>
                <w:kern w:val="0"/>
                <w:sz w:val="22"/>
                <w:szCs w:val="22"/>
              </w:rPr>
            </w:pPr>
            <w:r w:rsidRPr="00512EA9">
              <w:rPr>
                <w:rFonts w:ascii="標楷體" w:eastAsia="標楷體" w:hAnsi="標楷體" w:cs="新細明體" w:hint="eastAsia"/>
                <w:color w:val="000000"/>
                <w:kern w:val="0"/>
                <w:sz w:val="22"/>
                <w:szCs w:val="22"/>
              </w:rPr>
              <w:lastRenderedPageBreak/>
              <w:t>(3學分/3小時)</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1027D" w:rsidRPr="00A92774" w:rsidRDefault="0081027D" w:rsidP="008720F7">
            <w:pPr>
              <w:widowControl/>
              <w:snapToGrid w:val="0"/>
              <w:jc w:val="center"/>
              <w:rPr>
                <w:rFonts w:ascii="標楷體" w:eastAsia="標楷體" w:hAnsi="標楷體" w:cs="新細明體"/>
                <w:b/>
                <w:color w:val="000000"/>
                <w:kern w:val="0"/>
                <w:sz w:val="22"/>
                <w:szCs w:val="22"/>
                <w:u w:val="single"/>
              </w:rPr>
            </w:pPr>
          </w:p>
          <w:p w:rsidR="0081027D" w:rsidRPr="00A92774" w:rsidRDefault="0081027D" w:rsidP="008720F7">
            <w:pPr>
              <w:widowControl/>
              <w:snapToGrid w:val="0"/>
              <w:jc w:val="center"/>
              <w:rPr>
                <w:rFonts w:ascii="標楷體" w:eastAsia="標楷體" w:hAnsi="標楷體" w:cs="新細明體"/>
                <w:color w:val="000000"/>
                <w:kern w:val="0"/>
                <w:sz w:val="22"/>
                <w:szCs w:val="22"/>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81027D" w:rsidRPr="00A92774" w:rsidRDefault="0081027D" w:rsidP="008720F7">
            <w:pPr>
              <w:widowControl/>
              <w:snapToGrid w:val="0"/>
              <w:jc w:val="center"/>
              <w:rPr>
                <w:rFonts w:ascii="標楷體" w:eastAsia="標楷體" w:hAnsi="標楷體" w:cs="新細明體"/>
                <w:color w:val="000000"/>
                <w:kern w:val="0"/>
                <w:sz w:val="22"/>
                <w:szCs w:val="22"/>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81027D" w:rsidRDefault="00C9430A"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策略行銷</w:t>
            </w:r>
          </w:p>
          <w:p w:rsidR="00DA60B6" w:rsidRPr="00A92774" w:rsidRDefault="00DA60B6" w:rsidP="008720F7">
            <w:pPr>
              <w:widowControl/>
              <w:snapToGrid w:val="0"/>
              <w:jc w:val="center"/>
              <w:rPr>
                <w:rFonts w:ascii="標楷體" w:eastAsia="標楷體" w:hAnsi="標楷體" w:cs="新細明體"/>
                <w:color w:val="000000"/>
                <w:kern w:val="0"/>
                <w:sz w:val="22"/>
                <w:szCs w:val="22"/>
              </w:rPr>
            </w:pPr>
            <w:r w:rsidRPr="00A075CB">
              <w:rPr>
                <w:rFonts w:ascii="標楷體" w:eastAsia="標楷體" w:hAnsi="標楷體" w:hint="eastAsia"/>
                <w:sz w:val="20"/>
                <w:szCs w:val="20"/>
              </w:rPr>
              <w:t>Strategic Marketing</w:t>
            </w:r>
          </w:p>
          <w:p w:rsidR="00C9430A" w:rsidRPr="00A92774" w:rsidRDefault="00C9430A" w:rsidP="008720F7">
            <w:pPr>
              <w:widowControl/>
              <w:snapToGrid w:val="0"/>
              <w:jc w:val="center"/>
              <w:rPr>
                <w:rFonts w:ascii="標楷體" w:eastAsia="標楷體" w:hAnsi="標楷體" w:cs="新細明體"/>
                <w:color w:val="000000"/>
                <w:kern w:val="0"/>
                <w:sz w:val="22"/>
                <w:szCs w:val="22"/>
              </w:rPr>
            </w:pPr>
            <w:r w:rsidRPr="00A92774">
              <w:rPr>
                <w:rFonts w:ascii="標楷體" w:eastAsia="標楷體" w:hAnsi="標楷體" w:cs="新細明體" w:hint="eastAsia"/>
                <w:color w:val="000000"/>
                <w:kern w:val="0"/>
                <w:sz w:val="22"/>
                <w:szCs w:val="22"/>
              </w:rPr>
              <w:t>(3學分/3小時)</w:t>
            </w:r>
          </w:p>
        </w:tc>
      </w:tr>
      <w:tr w:rsidR="008720F7" w:rsidRPr="003175DC" w:rsidTr="00C9430A">
        <w:trPr>
          <w:trHeight w:val="360"/>
          <w:jc w:val="center"/>
        </w:trPr>
        <w:tc>
          <w:tcPr>
            <w:tcW w:w="656" w:type="pct"/>
            <w:tcBorders>
              <w:left w:val="single" w:sz="4" w:space="0" w:color="auto"/>
              <w:bottom w:val="single" w:sz="4" w:space="0" w:color="auto"/>
              <w:right w:val="single" w:sz="4" w:space="0" w:color="auto"/>
            </w:tcBorders>
            <w:shd w:val="clear" w:color="auto" w:fill="auto"/>
            <w:vAlign w:val="center"/>
          </w:tcPr>
          <w:p w:rsidR="008720F7" w:rsidRDefault="008720F7" w:rsidP="007813EC">
            <w:pPr>
              <w:widowControl/>
              <w:snapToGrid w:val="0"/>
              <w:spacing w:line="360" w:lineRule="exact"/>
              <w:jc w:val="center"/>
              <w:rPr>
                <w:rFonts w:ascii="標楷體" w:eastAsia="標楷體" w:hAnsi="標楷體" w:cs="新細明體"/>
                <w:color w:val="000000"/>
                <w:kern w:val="0"/>
              </w:rPr>
            </w:pPr>
          </w:p>
        </w:tc>
        <w:tc>
          <w:tcPr>
            <w:tcW w:w="417" w:type="pct"/>
            <w:tcBorders>
              <w:left w:val="nil"/>
              <w:bottom w:val="single" w:sz="4" w:space="0" w:color="auto"/>
              <w:right w:val="single" w:sz="4" w:space="0" w:color="auto"/>
            </w:tcBorders>
            <w:shd w:val="clear" w:color="auto" w:fill="auto"/>
            <w:vAlign w:val="center"/>
          </w:tcPr>
          <w:p w:rsidR="008720F7" w:rsidRPr="003175DC" w:rsidRDefault="008720F7" w:rsidP="00246B23">
            <w:pPr>
              <w:widowControl/>
              <w:snapToGrid w:val="0"/>
              <w:spacing w:line="360" w:lineRule="exact"/>
              <w:jc w:val="center"/>
              <w:rPr>
                <w:rFonts w:ascii="標楷體" w:eastAsia="標楷體" w:hAnsi="標楷體" w:cs="新細明體"/>
                <w:color w:val="000000"/>
                <w:kern w:val="0"/>
              </w:rPr>
            </w:pPr>
          </w:p>
        </w:tc>
        <w:tc>
          <w:tcPr>
            <w:tcW w:w="632" w:type="pct"/>
            <w:tcBorders>
              <w:left w:val="nil"/>
              <w:bottom w:val="single" w:sz="4" w:space="0" w:color="auto"/>
              <w:right w:val="single" w:sz="4" w:space="0" w:color="auto"/>
            </w:tcBorders>
            <w:shd w:val="clear" w:color="auto" w:fill="auto"/>
            <w:vAlign w:val="center"/>
          </w:tcPr>
          <w:p w:rsidR="008720F7" w:rsidRPr="003175DC" w:rsidRDefault="008720F7" w:rsidP="00246B23">
            <w:pPr>
              <w:widowControl/>
              <w:snapToGrid w:val="0"/>
              <w:spacing w:line="360" w:lineRule="exact"/>
              <w:jc w:val="both"/>
              <w:rPr>
                <w:rFonts w:ascii="標楷體" w:eastAsia="標楷體" w:hAnsi="標楷體" w:cs="新細明體"/>
                <w:color w:val="000000"/>
                <w:kern w:val="0"/>
              </w:rPr>
            </w:pPr>
          </w:p>
        </w:tc>
        <w:tc>
          <w:tcPr>
            <w:tcW w:w="775" w:type="pct"/>
            <w:tcBorders>
              <w:top w:val="single" w:sz="4" w:space="0" w:color="auto"/>
              <w:left w:val="nil"/>
              <w:bottom w:val="single" w:sz="4" w:space="0" w:color="auto"/>
              <w:right w:val="single" w:sz="4" w:space="0" w:color="auto"/>
            </w:tcBorders>
            <w:shd w:val="clear" w:color="auto" w:fill="auto"/>
            <w:vAlign w:val="center"/>
          </w:tcPr>
          <w:p w:rsidR="008720F7" w:rsidRPr="00A92774" w:rsidRDefault="008720F7" w:rsidP="008720F7">
            <w:pPr>
              <w:widowControl/>
              <w:snapToGrid w:val="0"/>
              <w:jc w:val="center"/>
              <w:rPr>
                <w:rFonts w:ascii="標楷體" w:eastAsia="標楷體" w:hAnsi="標楷體" w:cs="新細明體"/>
                <w:color w:val="000000"/>
                <w:kern w:val="0"/>
                <w:sz w:val="22"/>
                <w:szCs w:val="22"/>
              </w:rPr>
            </w:pP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8720F7" w:rsidRPr="00A92774" w:rsidRDefault="008720F7" w:rsidP="008720F7">
            <w:pPr>
              <w:widowControl/>
              <w:snapToGrid w:val="0"/>
              <w:jc w:val="center"/>
              <w:rPr>
                <w:rFonts w:ascii="標楷體" w:eastAsia="標楷體" w:hAnsi="標楷體" w:cs="新細明體"/>
                <w:b/>
                <w:color w:val="000000"/>
                <w:kern w:val="0"/>
                <w:sz w:val="22"/>
                <w:szCs w:val="22"/>
                <w:u w:val="single"/>
              </w:rPr>
            </w:pPr>
          </w:p>
        </w:tc>
        <w:tc>
          <w:tcPr>
            <w:tcW w:w="1011" w:type="pct"/>
            <w:tcBorders>
              <w:top w:val="single" w:sz="4" w:space="0" w:color="auto"/>
              <w:left w:val="single" w:sz="4" w:space="0" w:color="auto"/>
              <w:bottom w:val="single" w:sz="4" w:space="0" w:color="auto"/>
              <w:right w:val="single" w:sz="4" w:space="0" w:color="auto"/>
            </w:tcBorders>
            <w:shd w:val="clear" w:color="auto" w:fill="auto"/>
            <w:vAlign w:val="center"/>
          </w:tcPr>
          <w:p w:rsidR="008720F7" w:rsidRPr="00A92774" w:rsidRDefault="008720F7" w:rsidP="008720F7">
            <w:pPr>
              <w:widowControl/>
              <w:snapToGrid w:val="0"/>
              <w:jc w:val="center"/>
              <w:rPr>
                <w:rFonts w:ascii="標楷體" w:eastAsia="標楷體" w:hAnsi="標楷體" w:cs="新細明體"/>
                <w:color w:val="000000"/>
                <w:kern w:val="0"/>
                <w:sz w:val="22"/>
                <w:szCs w:val="22"/>
              </w:rPr>
            </w:pP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512EA9" w:rsidRDefault="00512EA9" w:rsidP="00512EA9">
            <w:pPr>
              <w:widowControl/>
              <w:snapToGrid w:val="0"/>
              <w:jc w:val="center"/>
              <w:rPr>
                <w:rFonts w:ascii="標楷體" w:eastAsia="標楷體" w:hAnsi="標楷體" w:cs="新細明體"/>
                <w:b/>
                <w:color w:val="000000"/>
                <w:kern w:val="0"/>
                <w:sz w:val="22"/>
                <w:szCs w:val="22"/>
                <w:u w:val="single"/>
              </w:rPr>
            </w:pPr>
            <w:r w:rsidRPr="00A92774">
              <w:rPr>
                <w:rFonts w:ascii="標楷體" w:eastAsia="標楷體" w:hAnsi="標楷體" w:cs="新細明體" w:hint="eastAsia"/>
                <w:b/>
                <w:color w:val="000000"/>
                <w:kern w:val="0"/>
                <w:sz w:val="22"/>
                <w:szCs w:val="22"/>
                <w:u w:val="single"/>
              </w:rPr>
              <w:t>國際人力資源管理</w:t>
            </w:r>
          </w:p>
          <w:p w:rsidR="00512EA9" w:rsidRPr="00A92774" w:rsidRDefault="00512EA9" w:rsidP="00512EA9">
            <w:pPr>
              <w:widowControl/>
              <w:snapToGrid w:val="0"/>
              <w:jc w:val="center"/>
              <w:rPr>
                <w:rFonts w:ascii="標楷體" w:eastAsia="標楷體" w:hAnsi="標楷體" w:cs="新細明體"/>
                <w:b/>
                <w:color w:val="000000"/>
                <w:kern w:val="0"/>
                <w:sz w:val="22"/>
                <w:szCs w:val="22"/>
                <w:u w:val="single"/>
              </w:rPr>
            </w:pPr>
            <w:r w:rsidRPr="009F2AB5">
              <w:rPr>
                <w:rFonts w:eastAsia="標楷體" w:hint="eastAsia"/>
              </w:rPr>
              <w:t>International Human Resources Management</w:t>
            </w:r>
          </w:p>
          <w:p w:rsidR="00070AD1" w:rsidRPr="00A92774" w:rsidRDefault="00512EA9" w:rsidP="00512EA9">
            <w:pPr>
              <w:widowControl/>
              <w:snapToGrid w:val="0"/>
              <w:jc w:val="center"/>
              <w:rPr>
                <w:rFonts w:ascii="標楷體" w:eastAsia="標楷體" w:hAnsi="標楷體" w:cs="新細明體"/>
                <w:b/>
                <w:color w:val="000000"/>
                <w:kern w:val="0"/>
                <w:sz w:val="22"/>
                <w:szCs w:val="22"/>
                <w:u w:val="single"/>
              </w:rPr>
            </w:pPr>
            <w:r w:rsidRPr="00A92774">
              <w:rPr>
                <w:rFonts w:ascii="標楷體" w:eastAsia="標楷體" w:hAnsi="標楷體" w:cs="新細明體" w:hint="eastAsia"/>
                <w:b/>
                <w:color w:val="000000"/>
                <w:kern w:val="0"/>
                <w:sz w:val="22"/>
                <w:szCs w:val="22"/>
                <w:u w:val="single"/>
              </w:rPr>
              <w:t>(3學分/3小時)</w:t>
            </w:r>
          </w:p>
        </w:tc>
      </w:tr>
    </w:tbl>
    <w:p w:rsidR="002D23B6" w:rsidRPr="004D7681" w:rsidRDefault="002D23B6" w:rsidP="007F507F">
      <w:pPr>
        <w:snapToGrid w:val="0"/>
        <w:spacing w:line="360" w:lineRule="exact"/>
        <w:ind w:leftChars="150" w:left="360"/>
        <w:rPr>
          <w:rFonts w:ascii="標楷體" w:eastAsia="標楷體" w:hAnsi="標楷體"/>
          <w:color w:val="000000"/>
          <w:sz w:val="22"/>
          <w:szCs w:val="22"/>
        </w:rPr>
      </w:pPr>
      <w:r w:rsidRPr="004D7681">
        <w:rPr>
          <w:rFonts w:ascii="標楷體" w:eastAsia="標楷體" w:hAnsi="標楷體"/>
          <w:b/>
          <w:bCs/>
          <w:color w:val="000000"/>
          <w:sz w:val="22"/>
          <w:szCs w:val="22"/>
        </w:rPr>
        <w:t>備註：</w:t>
      </w:r>
      <w:r w:rsidRPr="004D7681">
        <w:rPr>
          <w:rFonts w:ascii="標楷體" w:eastAsia="標楷體" w:hAnsi="標楷體"/>
          <w:color w:val="000000"/>
          <w:sz w:val="22"/>
          <w:szCs w:val="22"/>
        </w:rPr>
        <w:t xml:space="preserve"> </w:t>
      </w:r>
    </w:p>
    <w:p w:rsidR="004B0ACD" w:rsidRPr="00FC4968" w:rsidRDefault="002D23B6" w:rsidP="004B0ACD">
      <w:pPr>
        <w:spacing w:line="340" w:lineRule="exact"/>
        <w:ind w:leftChars="200" w:left="920" w:hangingChars="200" w:hanging="440"/>
        <w:rPr>
          <w:rFonts w:ascii="標楷體" w:eastAsia="標楷體" w:hAnsi="標楷體"/>
        </w:rPr>
      </w:pPr>
      <w:r w:rsidRPr="004D7681">
        <w:rPr>
          <w:rFonts w:ascii="標楷體" w:eastAsia="標楷體" w:hAnsi="標楷體" w:hint="eastAsia"/>
          <w:color w:val="000000"/>
          <w:sz w:val="22"/>
          <w:szCs w:val="22"/>
        </w:rPr>
        <w:t>一、畢業總學分數為</w:t>
      </w:r>
      <w:r w:rsidR="0081027D" w:rsidRPr="004D7681">
        <w:rPr>
          <w:rFonts w:ascii="標楷體" w:eastAsia="標楷體" w:hAnsi="標楷體" w:hint="eastAsia"/>
          <w:color w:val="000000"/>
          <w:sz w:val="22"/>
          <w:szCs w:val="22"/>
        </w:rPr>
        <w:t>42</w:t>
      </w:r>
      <w:r w:rsidRPr="004D7681">
        <w:rPr>
          <w:rFonts w:ascii="標楷體" w:eastAsia="標楷體" w:hAnsi="標楷體" w:hint="eastAsia"/>
          <w:color w:val="000000"/>
          <w:sz w:val="22"/>
          <w:szCs w:val="22"/>
        </w:rPr>
        <w:t>學分</w:t>
      </w:r>
      <w:r w:rsidR="007F507F" w:rsidRPr="004D7681">
        <w:rPr>
          <w:rFonts w:ascii="標楷體" w:eastAsia="標楷體" w:hAnsi="標楷體" w:hint="eastAsia"/>
          <w:color w:val="000000"/>
          <w:sz w:val="22"/>
          <w:szCs w:val="22"/>
        </w:rPr>
        <w:t>，每學期限修16學分數</w:t>
      </w:r>
      <w:r w:rsidR="004B0ACD">
        <w:rPr>
          <w:rFonts w:ascii="標楷體" w:eastAsia="標楷體" w:hAnsi="標楷體" w:hint="eastAsia"/>
          <w:color w:val="000000"/>
          <w:sz w:val="22"/>
          <w:szCs w:val="22"/>
        </w:rPr>
        <w:t>。(</w:t>
      </w:r>
      <w:r w:rsidR="004B0ACD" w:rsidRPr="00FC4968">
        <w:rPr>
          <w:rFonts w:ascii="標楷體" w:eastAsia="標楷體" w:hAnsi="標楷體"/>
        </w:rPr>
        <w:t>This program requires a minimum of 42 credits to graduate, including six credits for the thesis. 1</w:t>
      </w:r>
      <w:r w:rsidR="004B0ACD">
        <w:rPr>
          <w:rFonts w:ascii="標楷體" w:eastAsia="標楷體" w:hAnsi="標楷體" w:hint="eastAsia"/>
        </w:rPr>
        <w:t>6</w:t>
      </w:r>
      <w:r w:rsidR="004B0ACD" w:rsidRPr="00FC4968">
        <w:rPr>
          <w:rFonts w:ascii="標楷體" w:eastAsia="標楷體" w:hAnsi="標楷體"/>
        </w:rPr>
        <w:t xml:space="preserve"> credits each semester.</w:t>
      </w:r>
    </w:p>
    <w:p w:rsidR="002D23B6" w:rsidRPr="004D7681" w:rsidRDefault="002D23B6" w:rsidP="007F507F">
      <w:pPr>
        <w:snapToGrid w:val="0"/>
        <w:spacing w:line="360" w:lineRule="exact"/>
        <w:ind w:leftChars="200" w:left="480"/>
        <w:rPr>
          <w:rFonts w:ascii="標楷體" w:eastAsia="標楷體" w:hAnsi="標楷體"/>
          <w:color w:val="000000"/>
          <w:sz w:val="22"/>
          <w:szCs w:val="22"/>
        </w:rPr>
      </w:pPr>
      <w:r w:rsidRPr="004D7681">
        <w:rPr>
          <w:rFonts w:ascii="標楷體" w:eastAsia="標楷體" w:hAnsi="標楷體" w:hint="eastAsia"/>
          <w:color w:val="000000"/>
          <w:sz w:val="22"/>
          <w:szCs w:val="22"/>
        </w:rPr>
        <w:t>二、專業課程必修</w:t>
      </w:r>
      <w:r w:rsidR="0081027D" w:rsidRPr="004D7681">
        <w:rPr>
          <w:rFonts w:ascii="標楷體" w:eastAsia="標楷體" w:hAnsi="標楷體" w:hint="eastAsia"/>
          <w:color w:val="000000"/>
          <w:sz w:val="22"/>
          <w:szCs w:val="22"/>
        </w:rPr>
        <w:t>12</w:t>
      </w:r>
      <w:r w:rsidRPr="004D7681">
        <w:rPr>
          <w:rFonts w:ascii="標楷體" w:eastAsia="標楷體" w:hAnsi="標楷體" w:hint="eastAsia"/>
          <w:color w:val="000000"/>
          <w:sz w:val="22"/>
          <w:szCs w:val="22"/>
        </w:rPr>
        <w:t>學分，專業選修</w:t>
      </w:r>
      <w:r w:rsidR="0081027D" w:rsidRPr="004D7681">
        <w:rPr>
          <w:rFonts w:ascii="標楷體" w:eastAsia="標楷體" w:hAnsi="標楷體" w:hint="eastAsia"/>
          <w:color w:val="000000"/>
          <w:sz w:val="22"/>
          <w:szCs w:val="22"/>
        </w:rPr>
        <w:t>至少15</w:t>
      </w:r>
      <w:r w:rsidRPr="004D7681">
        <w:rPr>
          <w:rFonts w:ascii="標楷體" w:eastAsia="標楷體" w:hAnsi="標楷體" w:hint="eastAsia"/>
          <w:color w:val="000000"/>
          <w:sz w:val="22"/>
          <w:szCs w:val="22"/>
        </w:rPr>
        <w:t>學分。</w:t>
      </w:r>
    </w:p>
    <w:p w:rsidR="007F507F" w:rsidRPr="004D7681" w:rsidRDefault="002D23B6" w:rsidP="007F507F">
      <w:pPr>
        <w:widowControl/>
        <w:ind w:leftChars="200" w:left="920" w:hangingChars="200" w:hanging="440"/>
        <w:rPr>
          <w:rFonts w:ascii="標楷體" w:eastAsia="標楷體" w:hAnsi="標楷體" w:cs="新細明體"/>
          <w:kern w:val="0"/>
          <w:sz w:val="22"/>
          <w:szCs w:val="22"/>
        </w:rPr>
      </w:pPr>
      <w:r w:rsidRPr="004D7681">
        <w:rPr>
          <w:rFonts w:ascii="標楷體" w:eastAsia="標楷體" w:hAnsi="標楷體" w:hint="eastAsia"/>
          <w:color w:val="000000"/>
          <w:sz w:val="22"/>
          <w:szCs w:val="22"/>
        </w:rPr>
        <w:t>三、</w:t>
      </w:r>
      <w:r w:rsidR="007F507F" w:rsidRPr="004D7681">
        <w:rPr>
          <w:rFonts w:ascii="標楷體" w:eastAsia="標楷體" w:hAnsi="標楷體" w:cs="新細明體" w:hint="eastAsia"/>
          <w:kern w:val="0"/>
          <w:sz w:val="22"/>
          <w:szCs w:val="22"/>
        </w:rPr>
        <w:t>選修外系課程必須為管理學院、財金學院與工學院英文授課課程，並事先向學程主任提出申請核准，且以選修3學分為上限 ，若至國外姐妹校選修課程可提高至9學分</w:t>
      </w:r>
      <w:r w:rsidR="00C1490B">
        <w:rPr>
          <w:rFonts w:ascii="標楷體" w:eastAsia="標楷體" w:hAnsi="標楷體" w:cs="新細明體" w:hint="eastAsia"/>
          <w:kern w:val="0"/>
          <w:sz w:val="22"/>
          <w:szCs w:val="22"/>
        </w:rPr>
        <w:t>(</w:t>
      </w:r>
      <w:r w:rsidR="00C1490B" w:rsidRPr="00C1490B">
        <w:rPr>
          <w:rFonts w:ascii="標楷體" w:eastAsia="標楷體" w:hAnsi="標楷體" w:cs="新細明體"/>
          <w:kern w:val="0"/>
          <w:sz w:val="22"/>
          <w:szCs w:val="22"/>
        </w:rPr>
        <w:t xml:space="preserve">Elective courses enrolled from other department must be from College of Management / College of Finance, be taught in English and be approved by IMBA director in advance. Max.3 credits for elective courses can be acknowledged from other departments, max.9 </w:t>
      </w:r>
      <w:r w:rsidR="00C1490B" w:rsidRPr="00C1490B">
        <w:rPr>
          <w:rFonts w:ascii="標楷體" w:eastAsia="標楷體" w:hAnsi="標楷體" w:cs="新細明體" w:hint="eastAsia"/>
          <w:kern w:val="0"/>
          <w:sz w:val="22"/>
          <w:szCs w:val="22"/>
        </w:rPr>
        <w:t>credits for courses enrolled at partner universities</w:t>
      </w:r>
      <w:r w:rsidR="00C1490B">
        <w:rPr>
          <w:rFonts w:ascii="標楷體" w:eastAsia="標楷體" w:hAnsi="標楷體" w:cs="新細明體" w:hint="eastAsia"/>
          <w:kern w:val="0"/>
          <w:sz w:val="22"/>
          <w:szCs w:val="22"/>
        </w:rPr>
        <w:t>)</w:t>
      </w:r>
      <w:r w:rsidR="007F507F" w:rsidRPr="004D7681">
        <w:rPr>
          <w:rFonts w:ascii="標楷體" w:eastAsia="標楷體" w:hAnsi="標楷體" w:cs="新細明體" w:hint="eastAsia"/>
          <w:kern w:val="0"/>
          <w:sz w:val="22"/>
          <w:szCs w:val="22"/>
        </w:rPr>
        <w:t>。</w:t>
      </w:r>
    </w:p>
    <w:p w:rsidR="007F507F" w:rsidRPr="004D7681" w:rsidRDefault="007F507F" w:rsidP="007F507F">
      <w:pPr>
        <w:widowControl/>
        <w:ind w:leftChars="200" w:left="920" w:hangingChars="200" w:hanging="440"/>
        <w:rPr>
          <w:rFonts w:ascii="標楷體" w:eastAsia="標楷體" w:hAnsi="標楷體" w:cs="新細明體"/>
          <w:sz w:val="22"/>
          <w:szCs w:val="22"/>
        </w:rPr>
      </w:pPr>
      <w:r w:rsidRPr="004D7681">
        <w:rPr>
          <w:rFonts w:ascii="標楷體" w:eastAsia="標楷體" w:hAnsi="標楷體" w:hint="eastAsia"/>
          <w:color w:val="000000"/>
          <w:sz w:val="22"/>
          <w:szCs w:val="22"/>
        </w:rPr>
        <w:t>四、</w:t>
      </w:r>
      <w:r w:rsidRPr="004D7681">
        <w:rPr>
          <w:rFonts w:ascii="標楷體" w:eastAsia="標楷體" w:hAnsi="標楷體" w:cs="新細明體" w:hint="eastAsia"/>
          <w:kern w:val="0"/>
          <w:sz w:val="22"/>
          <w:szCs w:val="22"/>
        </w:rPr>
        <w:t>本國生未修過大學部「統計學」課程者，需補修，其學分數不計入畢業學分數（外籍生免修</w:t>
      </w:r>
      <w:r w:rsidRPr="004D7681">
        <w:rPr>
          <w:rFonts w:ascii="標楷體" w:eastAsia="標楷體" w:hAnsi="標楷體" w:cs="新細明體" w:hint="eastAsia"/>
          <w:sz w:val="22"/>
          <w:szCs w:val="22"/>
        </w:rPr>
        <w:t>，若日後有全英文授課之統計學，則外籍生亦需下修該課程</w:t>
      </w:r>
      <w:r w:rsidRPr="004D7681">
        <w:rPr>
          <w:rFonts w:ascii="標楷體" w:eastAsia="標楷體" w:hAnsi="標楷體" w:cs="新細明體" w:hint="eastAsia"/>
          <w:kern w:val="0"/>
          <w:sz w:val="22"/>
          <w:szCs w:val="22"/>
        </w:rPr>
        <w:t>）</w:t>
      </w:r>
      <w:r w:rsidRPr="004D7681">
        <w:rPr>
          <w:rFonts w:ascii="標楷體" w:eastAsia="標楷體" w:hAnsi="標楷體" w:cs="新細明體" w:hint="eastAsia"/>
          <w:sz w:val="22"/>
          <w:szCs w:val="22"/>
        </w:rPr>
        <w:t>。</w:t>
      </w:r>
      <w:r w:rsidR="00C1490B">
        <w:rPr>
          <w:rFonts w:ascii="標楷體" w:eastAsia="標楷體" w:hAnsi="標楷體" w:cs="新細明體" w:hint="eastAsia"/>
          <w:sz w:val="22"/>
          <w:szCs w:val="22"/>
        </w:rPr>
        <w:t>(</w:t>
      </w:r>
      <w:r w:rsidR="00C1490B" w:rsidRPr="00C1490B">
        <w:rPr>
          <w:rFonts w:ascii="標楷體" w:eastAsia="標楷體" w:hAnsi="標楷體" w:cs="新細明體"/>
          <w:sz w:val="22"/>
          <w:szCs w:val="22"/>
        </w:rPr>
        <w:t>Taiwanese students who did not earn any credits from the Statistics course in their undergraduate career should take this course, but these credits will not counted toward those needed for graduation. International students are not required to take this course.</w:t>
      </w:r>
      <w:r w:rsidR="00C1490B">
        <w:rPr>
          <w:rFonts w:ascii="標楷體" w:eastAsia="標楷體" w:hAnsi="標楷體" w:cs="新細明體" w:hint="eastAsia"/>
          <w:sz w:val="22"/>
          <w:szCs w:val="22"/>
        </w:rPr>
        <w:t>)</w:t>
      </w:r>
    </w:p>
    <w:p w:rsidR="007F507F" w:rsidRPr="004D7681" w:rsidRDefault="007F507F" w:rsidP="007F507F">
      <w:pPr>
        <w:widowControl/>
        <w:ind w:leftChars="200" w:left="920" w:hangingChars="200" w:hanging="440"/>
        <w:rPr>
          <w:rFonts w:ascii="標楷體" w:eastAsia="標楷體" w:hAnsi="標楷體" w:cs="新細明體"/>
          <w:kern w:val="0"/>
          <w:sz w:val="22"/>
          <w:szCs w:val="22"/>
        </w:rPr>
      </w:pPr>
      <w:r w:rsidRPr="004D7681">
        <w:rPr>
          <w:rFonts w:ascii="標楷體" w:eastAsia="標楷體" w:hAnsi="標楷體" w:hint="eastAsia"/>
          <w:color w:val="000000"/>
          <w:sz w:val="22"/>
          <w:szCs w:val="22"/>
        </w:rPr>
        <w:t>五、</w:t>
      </w:r>
      <w:r w:rsidRPr="004D7681">
        <w:rPr>
          <w:rFonts w:ascii="標楷體" w:eastAsia="標楷體" w:hAnsi="標楷體" w:cs="新細明體" w:hint="eastAsia"/>
          <w:kern w:val="0"/>
          <w:sz w:val="22"/>
          <w:szCs w:val="22"/>
        </w:rPr>
        <w:t>本學程學生赴</w:t>
      </w:r>
      <w:r w:rsidRPr="004D7681">
        <w:rPr>
          <w:sz w:val="22"/>
          <w:szCs w:val="22"/>
        </w:rPr>
        <w:t>University of Wisconsin-La Crosse</w:t>
      </w:r>
      <w:r w:rsidRPr="004D7681">
        <w:rPr>
          <w:rFonts w:ascii="標楷體" w:eastAsia="標楷體" w:hAnsi="標楷體" w:cs="新細明體" w:hint="eastAsia"/>
          <w:kern w:val="0"/>
          <w:sz w:val="22"/>
          <w:szCs w:val="22"/>
        </w:rPr>
        <w:t>修讀雙聯學制所需修讀7門共21學分之共同必修課程中，本學程同意抵免3門課程(9學分)。</w:t>
      </w:r>
      <w:r w:rsidR="00797BB5">
        <w:rPr>
          <w:rFonts w:ascii="標楷體" w:eastAsia="標楷體" w:hAnsi="標楷體" w:cs="新細明體" w:hint="eastAsia"/>
          <w:kern w:val="0"/>
          <w:sz w:val="22"/>
          <w:szCs w:val="22"/>
        </w:rPr>
        <w:t>(</w:t>
      </w:r>
      <w:r w:rsidR="00797BB5" w:rsidRPr="00797BB5">
        <w:rPr>
          <w:rFonts w:ascii="標楷體" w:eastAsia="標楷體" w:hAnsi="標楷體" w:cs="新細明體"/>
          <w:kern w:val="0"/>
          <w:sz w:val="22"/>
          <w:szCs w:val="22"/>
        </w:rPr>
        <w:t>Students who choose to go to the University of Wisconsin-La Crosse to study a dual-degree program should take seven courses (for a total of 21 credits). However, only three of these courses (nine credits) can be waived</w:t>
      </w:r>
      <w:r w:rsidR="00797BB5">
        <w:rPr>
          <w:rFonts w:ascii="標楷體" w:eastAsia="標楷體" w:hAnsi="標楷體" w:cs="新細明體" w:hint="eastAsia"/>
          <w:kern w:val="0"/>
          <w:sz w:val="22"/>
          <w:szCs w:val="22"/>
        </w:rPr>
        <w:t>)</w:t>
      </w:r>
    </w:p>
    <w:p w:rsidR="007F507F" w:rsidRPr="004D7681" w:rsidRDefault="007F507F" w:rsidP="007F507F">
      <w:pPr>
        <w:widowControl/>
        <w:ind w:leftChars="200" w:left="920" w:hangingChars="200" w:hanging="440"/>
        <w:rPr>
          <w:rFonts w:ascii="標楷體" w:eastAsia="標楷體" w:hAnsi="標楷體"/>
          <w:color w:val="000000"/>
          <w:sz w:val="22"/>
          <w:szCs w:val="22"/>
        </w:rPr>
      </w:pPr>
      <w:r w:rsidRPr="004D7681">
        <w:rPr>
          <w:rFonts w:ascii="標楷體" w:eastAsia="標楷體" w:hAnsi="標楷體" w:hint="eastAsia"/>
          <w:color w:val="000000"/>
          <w:sz w:val="22"/>
          <w:szCs w:val="22"/>
        </w:rPr>
        <w:t>六、</w:t>
      </w:r>
      <w:r w:rsidRPr="004D7681">
        <w:rPr>
          <w:rFonts w:ascii="標楷體" w:eastAsia="標楷體" w:hAnsi="標楷體" w:hint="eastAsia"/>
          <w:sz w:val="22"/>
          <w:szCs w:val="22"/>
        </w:rPr>
        <w:t>非英語系國家大學畢業與</w:t>
      </w:r>
      <w:r w:rsidRPr="004D7681">
        <w:rPr>
          <w:rFonts w:ascii="標楷體" w:eastAsia="標楷體" w:hAnsi="標楷體"/>
          <w:color w:val="000000"/>
          <w:sz w:val="22"/>
          <w:szCs w:val="22"/>
        </w:rPr>
        <w:t>未達英文能力畢業門檻者，</w:t>
      </w:r>
      <w:r w:rsidRPr="004D7681">
        <w:rPr>
          <w:rFonts w:ascii="標楷體" w:eastAsia="標楷體" w:hAnsi="標楷體" w:hint="eastAsia"/>
          <w:color w:val="000000"/>
          <w:sz w:val="22"/>
          <w:szCs w:val="22"/>
        </w:rPr>
        <w:t>須修習管理英文，成績及格始得畢業，且該課程3學分不列入畢業學分。</w:t>
      </w:r>
      <w:r w:rsidR="00797BB5">
        <w:rPr>
          <w:rFonts w:ascii="標楷體" w:eastAsia="標楷體" w:hAnsi="標楷體" w:hint="eastAsia"/>
          <w:color w:val="000000"/>
          <w:sz w:val="22"/>
          <w:szCs w:val="22"/>
        </w:rPr>
        <w:t>(</w:t>
      </w:r>
      <w:r w:rsidR="00797BB5" w:rsidRPr="00797BB5">
        <w:rPr>
          <w:rFonts w:ascii="標楷體" w:eastAsia="標楷體" w:hAnsi="標楷體"/>
          <w:color w:val="000000"/>
          <w:sz w:val="22"/>
          <w:szCs w:val="22"/>
        </w:rPr>
        <w:t>Students from non-English speaking countries are required to attend and pass the course “Management English”. The 3 course credits do not count towards the graduation credits.</w:t>
      </w:r>
      <w:r w:rsidR="00797BB5">
        <w:rPr>
          <w:rFonts w:ascii="標楷體" w:eastAsia="標楷體" w:hAnsi="標楷體" w:hint="eastAsia"/>
          <w:color w:val="000000"/>
          <w:sz w:val="22"/>
          <w:szCs w:val="22"/>
        </w:rPr>
        <w:t>)</w:t>
      </w:r>
    </w:p>
    <w:p w:rsidR="007F507F" w:rsidRPr="004D7681" w:rsidRDefault="007F507F" w:rsidP="007F507F">
      <w:pPr>
        <w:widowControl/>
        <w:ind w:leftChars="200" w:left="920" w:hangingChars="200" w:hanging="440"/>
        <w:rPr>
          <w:rFonts w:ascii="標楷體" w:eastAsia="標楷體" w:hAnsi="標楷體"/>
          <w:color w:val="000000"/>
          <w:sz w:val="22"/>
          <w:szCs w:val="22"/>
        </w:rPr>
      </w:pPr>
      <w:r w:rsidRPr="004D7681">
        <w:rPr>
          <w:rFonts w:ascii="標楷體" w:eastAsia="標楷體" w:hAnsi="標楷體" w:hint="eastAsia"/>
          <w:color w:val="000000"/>
          <w:sz w:val="22"/>
          <w:szCs w:val="22"/>
        </w:rPr>
        <w:t>七、</w:t>
      </w:r>
      <w:r w:rsidRPr="004D7681">
        <w:rPr>
          <w:rFonts w:ascii="標楷體" w:eastAsia="標楷體" w:hAnsi="標楷體" w:hint="eastAsia"/>
          <w:sz w:val="22"/>
          <w:szCs w:val="22"/>
        </w:rPr>
        <w:t>管院課程開設之教學實習微學分課程，認列畢業學分數。</w:t>
      </w:r>
    </w:p>
    <w:sectPr w:rsidR="007F507F" w:rsidRPr="004D7681" w:rsidSect="00273368">
      <w:pgSz w:w="16838" w:h="11906" w:orient="landscape"/>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A03" w:rsidRDefault="001C5A03" w:rsidP="000E7C9E">
      <w:r>
        <w:separator/>
      </w:r>
    </w:p>
  </w:endnote>
  <w:endnote w:type="continuationSeparator" w:id="0">
    <w:p w:rsidR="001C5A03" w:rsidRDefault="001C5A03" w:rsidP="000E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BiauKai">
    <w:altName w:val="Arial Unicode MS"/>
    <w:charset w:val="51"/>
    <w:family w:val="auto"/>
    <w:pitch w:val="variable"/>
    <w:sig w:usb0="00000000"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A03" w:rsidRDefault="001C5A03" w:rsidP="000E7C9E">
      <w:r>
        <w:separator/>
      </w:r>
    </w:p>
  </w:footnote>
  <w:footnote w:type="continuationSeparator" w:id="0">
    <w:p w:rsidR="001C5A03" w:rsidRDefault="001C5A03" w:rsidP="000E7C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B6"/>
    <w:rsid w:val="00070AD1"/>
    <w:rsid w:val="000E7C9E"/>
    <w:rsid w:val="00117267"/>
    <w:rsid w:val="00136D4F"/>
    <w:rsid w:val="001C5A03"/>
    <w:rsid w:val="00245D68"/>
    <w:rsid w:val="00273368"/>
    <w:rsid w:val="002A2833"/>
    <w:rsid w:val="002A47F8"/>
    <w:rsid w:val="002D23B6"/>
    <w:rsid w:val="00333F04"/>
    <w:rsid w:val="004B0ACD"/>
    <w:rsid w:val="004D7681"/>
    <w:rsid w:val="00512EA9"/>
    <w:rsid w:val="005955B2"/>
    <w:rsid w:val="005D189C"/>
    <w:rsid w:val="00775349"/>
    <w:rsid w:val="007813EC"/>
    <w:rsid w:val="00797BB5"/>
    <w:rsid w:val="007F507F"/>
    <w:rsid w:val="0081027D"/>
    <w:rsid w:val="008720F7"/>
    <w:rsid w:val="008B3FA4"/>
    <w:rsid w:val="008B51C6"/>
    <w:rsid w:val="009E5CCE"/>
    <w:rsid w:val="00A7205E"/>
    <w:rsid w:val="00A92774"/>
    <w:rsid w:val="00AD4449"/>
    <w:rsid w:val="00B14281"/>
    <w:rsid w:val="00B43D05"/>
    <w:rsid w:val="00B82432"/>
    <w:rsid w:val="00B9582B"/>
    <w:rsid w:val="00BB6AE2"/>
    <w:rsid w:val="00C1490B"/>
    <w:rsid w:val="00C74EAD"/>
    <w:rsid w:val="00C9430A"/>
    <w:rsid w:val="00D608F0"/>
    <w:rsid w:val="00DA60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9E45EA-A5EA-47B5-BBEA-185F668D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B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D23B6"/>
    <w:rPr>
      <w:color w:val="0000FF"/>
      <w:u w:val="single"/>
    </w:rPr>
  </w:style>
  <w:style w:type="paragraph" w:styleId="a4">
    <w:name w:val="header"/>
    <w:basedOn w:val="a"/>
    <w:link w:val="a5"/>
    <w:uiPriority w:val="99"/>
    <w:unhideWhenUsed/>
    <w:rsid w:val="000E7C9E"/>
    <w:pPr>
      <w:tabs>
        <w:tab w:val="center" w:pos="4153"/>
        <w:tab w:val="right" w:pos="8306"/>
      </w:tabs>
      <w:snapToGrid w:val="0"/>
    </w:pPr>
    <w:rPr>
      <w:sz w:val="20"/>
      <w:szCs w:val="20"/>
    </w:rPr>
  </w:style>
  <w:style w:type="character" w:customStyle="1" w:styleId="a5">
    <w:name w:val="頁首 字元"/>
    <w:basedOn w:val="a0"/>
    <w:link w:val="a4"/>
    <w:uiPriority w:val="99"/>
    <w:rsid w:val="000E7C9E"/>
    <w:rPr>
      <w:rFonts w:ascii="Times New Roman" w:eastAsia="新細明體" w:hAnsi="Times New Roman" w:cs="Times New Roman"/>
      <w:sz w:val="20"/>
      <w:szCs w:val="20"/>
    </w:rPr>
  </w:style>
  <w:style w:type="paragraph" w:styleId="a6">
    <w:name w:val="footer"/>
    <w:basedOn w:val="a"/>
    <w:link w:val="a7"/>
    <w:uiPriority w:val="99"/>
    <w:unhideWhenUsed/>
    <w:rsid w:val="000E7C9E"/>
    <w:pPr>
      <w:tabs>
        <w:tab w:val="center" w:pos="4153"/>
        <w:tab w:val="right" w:pos="8306"/>
      </w:tabs>
      <w:snapToGrid w:val="0"/>
    </w:pPr>
    <w:rPr>
      <w:sz w:val="20"/>
      <w:szCs w:val="20"/>
    </w:rPr>
  </w:style>
  <w:style w:type="character" w:customStyle="1" w:styleId="a7">
    <w:name w:val="頁尾 字元"/>
    <w:basedOn w:val="a0"/>
    <w:link w:val="a6"/>
    <w:uiPriority w:val="99"/>
    <w:rsid w:val="000E7C9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staff</cp:lastModifiedBy>
  <cp:revision>6</cp:revision>
  <dcterms:created xsi:type="dcterms:W3CDTF">2019-05-20T07:09:00Z</dcterms:created>
  <dcterms:modified xsi:type="dcterms:W3CDTF">2019-07-01T05:30:00Z</dcterms:modified>
</cp:coreProperties>
</file>